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5A55E8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89129B">
        <w:rPr>
          <w:rFonts w:cs="Arial"/>
          <w:color w:val="000000"/>
          <w:sz w:val="24"/>
          <w:szCs w:val="24"/>
        </w:rPr>
        <w:t>2359</w:t>
      </w:r>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2345CF34"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7044A">
        <w:rPr>
          <w:rFonts w:ascii="Arial" w:hAnsi="Arial"/>
          <w:sz w:val="24"/>
          <w:lang w:val="en-US"/>
        </w:rPr>
        <w:t>8.1.4.11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8C6D69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F3416">
        <w:rPr>
          <w:rFonts w:ascii="Arial" w:hAnsi="Arial"/>
          <w:sz w:val="24"/>
          <w:lang w:val="en-US"/>
        </w:rPr>
        <w:t>On RSSI and channel occupancy measurements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5FCCA10C" w14:textId="735952E6" w:rsidR="00D25C97" w:rsidRDefault="00913818" w:rsidP="00804DAC">
      <w:pPr>
        <w:rPr>
          <w:lang w:val="en-US"/>
        </w:rPr>
      </w:pPr>
      <w:r>
        <w:rPr>
          <w:lang w:val="en-US"/>
        </w:rPr>
        <w:t>RSSI and channel occupancy (CO) measurements are optional UE measurement in NR-U which have been discussed in the last two meetings. In RAN4#92 meeting, the followings were agreed regarding RSSI/CO measurements [1]:</w:t>
      </w:r>
    </w:p>
    <w:p w14:paraId="5AC1F94B" w14:textId="44CE316C" w:rsidR="00913818" w:rsidRDefault="00913818" w:rsidP="00804DAC">
      <w:pPr>
        <w:rPr>
          <w:lang w:val="en-US"/>
        </w:rPr>
      </w:pPr>
      <w:r w:rsidRPr="0074147F">
        <w:rPr>
          <w:noProof/>
          <w:lang w:val="en-US" w:eastAsia="zh-CN"/>
        </w:rPr>
        <mc:AlternateContent>
          <mc:Choice Requires="wps">
            <w:drawing>
              <wp:inline distT="0" distB="0" distL="0" distR="0" wp14:anchorId="3F938844" wp14:editId="7E5BB15A">
                <wp:extent cx="5881420" cy="651053"/>
                <wp:effectExtent l="0" t="0" r="24130" b="158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51053"/>
                        </a:xfrm>
                        <a:prstGeom prst="rect">
                          <a:avLst/>
                        </a:prstGeom>
                        <a:solidFill>
                          <a:srgbClr val="FFFFFF"/>
                        </a:solidFill>
                        <a:ln w="9525">
                          <a:solidFill>
                            <a:srgbClr val="000000"/>
                          </a:solidFill>
                          <a:miter lim="800000"/>
                          <a:headEnd/>
                          <a:tailEnd/>
                        </a:ln>
                      </wps:spPr>
                      <wps:txbx>
                        <w:txbxContent>
                          <w:p w14:paraId="6A9CBF5A"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FFS: The resource configuration for RSSI/channel occupancy shall be independent of the SCS used e.g., for data</w:t>
                            </w:r>
                          </w:p>
                          <w:p w14:paraId="1A65D3E9"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Both the network and UE need to be aware of the RSSI measured bandwidth</w:t>
                            </w:r>
                          </w:p>
                          <w:p w14:paraId="7B3C1160" w14:textId="77777777" w:rsidR="00D920EB" w:rsidRPr="009C5EB9" w:rsidRDefault="00D920EB" w:rsidP="0091381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F938844" id="_x0000_t202" coordsize="21600,21600" o:spt="202" path="m,l,21600r21600,l21600,xe">
                <v:stroke joinstyle="miter"/>
                <v:path gradientshapeok="t" o:connecttype="rect"/>
              </v:shapetype>
              <v:shape id="Text Box 1" o:spid="_x0000_s1026" type="#_x0000_t202" style="width:463.1pt;height:5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TDIgIAAEQEAAAOAAAAZHJzL2Uyb0RvYy54bWysU9uO0zAQfUfiHyy/0ySlWbpR09XSpQhp&#10;uUi7fIDjOI2F7TG222T5esZOt0TAEyIPlu0Zn5w5Z2ZzM2pFTsJ5CaamxSKnRBgOrTSHmn593L9a&#10;U+IDMy1TYERNn4SnN9uXLzaDrcQSelCtcARBjK8GW9M+BFtlmee90MwvwAqDwQ6cZgGP7pC1jg2I&#10;rlW2zPOrbADXWgdceI+3d1OQbhN+1wkePnedF4GomiK3kFaX1iau2XbDqoNjtpf8TIP9AwvNpMGf&#10;XqDuWGDk6OQfUFpyBx66sOCgM+g6yUWqAasp8t+qeeiZFakWFMfbi0z+/8HyT6cvjsgWvaPEMI0W&#10;PYoxkLcwkiKqM1hfYdKDxbQw4nXMjJV6ew/8mycGdj0zB3HrHAy9YC2ySy+z2dMJx0eQZvgILf6G&#10;HQMkoLFzOgKiGATR0aWnizORCsfLcr0uVksMcYxdlUVevo7kMlY9v7bOh/cCNImbmjp0PqGz070P&#10;U+pzSmIPSrZ7qVQ6uEOzU46cGHbJPn1ndD9PU4YMNb0ul+UkwDzm5xB5+v4GoWXAdldS13R9SWJV&#10;lO2daVMzBibVtMfqlMEio45RuknEMDbj2ZcG2idU1MHU1jiGuOnB/aBkwJauqf9+ZE5Qoj4YdOW6&#10;WK3iDKTDqnwT9XTzSDOPMMMRqqaBkmm7C2luomAGbtG9TiZhI72JyZkrtmqy5jxWcRbm55T1a/i3&#10;PwEAAP//AwBQSwMEFAAGAAgAAAAhABwIAEHcAAAABQEAAA8AAABkcnMvZG93bnJldi54bWxMj8FO&#10;wzAQRO9I/IO1SFwQdQgQ2hCnQkgguEFbwdWNt0mEvQ62m4a/Z+ECl5FWM5p5Wy0nZ8WIIfaeFFzM&#10;MhBIjTc9tQo264fzOYiYNBltPaGCL4ywrI+PKl0af6BXHFepFVxCsdQKupSGUsrYdOh0nPkBib2d&#10;D04nPkMrTdAHLndW5llWSKd74oVOD3jfYfOx2jsF86un8T0+X768NcXOLtLZzfj4GZQ6PZnubkEk&#10;nNJfGH7wGR1qZtr6PZkorAJ+JP0qe4u8yEFsOZTl1yDrSv6nr78BAAD//wMAUEsBAi0AFAAGAAgA&#10;AAAhALaDOJL+AAAA4QEAABMAAAAAAAAAAAAAAAAAAAAAAFtDb250ZW50X1R5cGVzXS54bWxQSwEC&#10;LQAUAAYACAAAACEAOP0h/9YAAACUAQAACwAAAAAAAAAAAAAAAAAvAQAAX3JlbHMvLnJlbHNQSwEC&#10;LQAUAAYACAAAACEAsqJ0wyICAABEBAAADgAAAAAAAAAAAAAAAAAuAgAAZHJzL2Uyb0RvYy54bWxQ&#10;SwECLQAUAAYACAAAACEAHAgAQdwAAAAFAQAADwAAAAAAAAAAAAAAAAB8BAAAZHJzL2Rvd25yZXYu&#10;eG1sUEsFBgAAAAAEAAQA8wAAAIUFAAAAAA==&#10;">
                <v:textbox>
                  <w:txbxContent>
                    <w:p w14:paraId="6A9CBF5A"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FFS: The resource configuration for RSSI/channel occupancy shall be independent of the SCS used e.g., for data</w:t>
                      </w:r>
                    </w:p>
                    <w:p w14:paraId="1A65D3E9" w14:textId="77777777" w:rsidR="00D920EB" w:rsidRPr="00913818" w:rsidRDefault="00D920EB" w:rsidP="00913818">
                      <w:pPr>
                        <w:pStyle w:val="ListParagraph"/>
                        <w:numPr>
                          <w:ilvl w:val="0"/>
                          <w:numId w:val="37"/>
                        </w:numPr>
                        <w:rPr>
                          <w:rFonts w:eastAsia="Batang"/>
                          <w:b/>
                          <w:sz w:val="20"/>
                          <w:szCs w:val="20"/>
                          <w:lang w:eastAsia="zh-CN"/>
                        </w:rPr>
                      </w:pPr>
                      <w:r w:rsidRPr="00913818">
                        <w:rPr>
                          <w:rFonts w:eastAsia="Batang"/>
                          <w:b/>
                          <w:sz w:val="20"/>
                          <w:szCs w:val="20"/>
                          <w:lang w:eastAsia="zh-CN"/>
                        </w:rPr>
                        <w:t>Both the network and UE need to be aware of the RSSI measured bandwidth</w:t>
                      </w:r>
                    </w:p>
                    <w:p w14:paraId="7B3C1160" w14:textId="77777777" w:rsidR="00D920EB" w:rsidRPr="009C5EB9" w:rsidRDefault="00D920EB" w:rsidP="00913818">
                      <w:pPr>
                        <w:rPr>
                          <w:rFonts w:eastAsia="Batang"/>
                          <w:b/>
                          <w:lang w:eastAsia="zh-CN"/>
                        </w:rPr>
                      </w:pPr>
                    </w:p>
                  </w:txbxContent>
                </v:textbox>
                <w10:anchorlock/>
              </v:shape>
            </w:pict>
          </mc:Fallback>
        </mc:AlternateContent>
      </w:r>
    </w:p>
    <w:p w14:paraId="354ADD6B" w14:textId="52D94F65" w:rsidR="00913818" w:rsidRDefault="00913818" w:rsidP="00804DAC">
      <w:pPr>
        <w:rPr>
          <w:lang w:val="en-US"/>
        </w:rPr>
      </w:pPr>
      <w:r>
        <w:rPr>
          <w:lang w:val="en-US"/>
        </w:rPr>
        <w:t>In addition, the LS in [2] was agreed on RSSI measurement definition</w:t>
      </w:r>
      <w:r w:rsidR="00773E3B">
        <w:rPr>
          <w:lang w:val="en-US"/>
        </w:rPr>
        <w:t xml:space="preserve"> related to the second bullet above. </w:t>
      </w:r>
    </w:p>
    <w:p w14:paraId="75C7B812" w14:textId="5BF0DBB3" w:rsidR="00773E3B" w:rsidRDefault="00773E3B" w:rsidP="00804DAC">
      <w:pPr>
        <w:rPr>
          <w:lang w:val="en-US"/>
        </w:rPr>
      </w:pPr>
      <w:r>
        <w:rPr>
          <w:lang w:val="en-US"/>
        </w:rPr>
        <w:t>On UE measurement reporting criteria, the followings were agreed [1]:</w:t>
      </w:r>
    </w:p>
    <w:p w14:paraId="73CAE194" w14:textId="56D912F4" w:rsidR="00773E3B" w:rsidRDefault="00773E3B" w:rsidP="00804DAC">
      <w:pPr>
        <w:rPr>
          <w:lang w:val="en-US"/>
        </w:rPr>
      </w:pPr>
      <w:r w:rsidRPr="0074147F">
        <w:rPr>
          <w:noProof/>
          <w:lang w:val="en-US" w:eastAsia="zh-CN"/>
        </w:rPr>
        <mc:AlternateContent>
          <mc:Choice Requires="wps">
            <w:drawing>
              <wp:inline distT="0" distB="0" distL="0" distR="0" wp14:anchorId="75D4849A" wp14:editId="6FCAEC53">
                <wp:extent cx="5881420" cy="1528876"/>
                <wp:effectExtent l="0" t="0" r="24130" b="146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28876"/>
                        </a:xfrm>
                        <a:prstGeom prst="rect">
                          <a:avLst/>
                        </a:prstGeom>
                        <a:solidFill>
                          <a:srgbClr val="FFFFFF"/>
                        </a:solidFill>
                        <a:ln w="9525">
                          <a:solidFill>
                            <a:srgbClr val="000000"/>
                          </a:solidFill>
                          <a:miter lim="800000"/>
                          <a:headEnd/>
                          <a:tailEnd/>
                        </a:ln>
                      </wps:spPr>
                      <wps:txbx>
                        <w:txbxContent>
                          <w:p w14:paraId="45DAE9CB" w14:textId="77777777" w:rsidR="00D920EB" w:rsidRPr="00773E3B" w:rsidRDefault="00D920EB" w:rsidP="00773E3B">
                            <w:pPr>
                              <w:numPr>
                                <w:ilvl w:val="0"/>
                                <w:numId w:val="38"/>
                              </w:numPr>
                              <w:tabs>
                                <w:tab w:val="num" w:pos="720"/>
                              </w:tabs>
                              <w:rPr>
                                <w:rFonts w:eastAsia="Batang"/>
                                <w:b/>
                                <w:lang w:val="en-US" w:eastAsia="zh-CN"/>
                              </w:rPr>
                            </w:pPr>
                            <w:r w:rsidRPr="00773E3B">
                              <w:rPr>
                                <w:rFonts w:eastAsia="Batang"/>
                                <w:b/>
                                <w:lang w:val="en-US" w:eastAsia="zh-CN"/>
                              </w:rPr>
                              <w:t>Reporting criteria, at least for the case when the bandwidth is up to 20 MHz:</w:t>
                            </w:r>
                          </w:p>
                          <w:p w14:paraId="7A47F7C5"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For NR-U intra-frequency RSSI and channel occupancy measurements, Ecat=1 (to be added in TS 38.133)</w:t>
                            </w:r>
                          </w:p>
                          <w:p w14:paraId="35F93767"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For NR-U inter-frequency RSSI and channel occupancy measurements, Ecat=1 (to be added in TS 38.133)</w:t>
                            </w:r>
                          </w:p>
                          <w:p w14:paraId="34CF478E"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For NR-U inter-RAT (E-UTRAN</w:t>
                            </w:r>
                            <w:r w:rsidRPr="00773E3B">
                              <w:rPr>
                                <w:rFonts w:eastAsia="Batang"/>
                                <w:b/>
                                <w:lang w:val="en-US" w:eastAsia="zh-CN"/>
                              </w:rPr>
                              <w:sym w:font="Symbol" w:char="F02D"/>
                            </w:r>
                            <w:r w:rsidRPr="00773E3B">
                              <w:rPr>
                                <w:rFonts w:eastAsia="Batang"/>
                                <w:b/>
                                <w:lang w:val="en-US" w:eastAsia="zh-CN"/>
                              </w:rPr>
                              <w:t>NR) RSSI and channel occupancy measurements, Ecat=1 (to be added in TS 36.133)</w:t>
                            </w:r>
                          </w:p>
                          <w:p w14:paraId="2FE78457" w14:textId="77777777" w:rsidR="00D920EB" w:rsidRPr="009C5EB9" w:rsidRDefault="00D920EB" w:rsidP="00773E3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5D4849A" id="Text Box 2" o:spid="_x0000_s1027" type="#_x0000_t202" style="width:463.1pt;height:1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PYTJQIAAEwEAAAOAAAAZHJzL2Uyb0RvYy54bWysVNtu2zAMfR+wfxD0vjg2ktY14hRdugwD&#10;um5Auw+QZTkWJomapMTuvn6UnKbZ7WWYHwRJpA4PD0mvrketyEE4L8HUNJ/NKRGGQyvNrqZfHrdv&#10;Skp8YKZlCoyo6ZPw9Hr9+tVqsJUooAfVCkcQxPhqsDXtQ7BVlnneC838DKwwaOzAaRbw6HZZ69iA&#10;6FplxXx+kQ3gWuuAC+/x9nYy0nXC7zrBw6eu8yIQVVPkFtLq0trENVuvWLVzzPaSH2mwf2ChmTQY&#10;9AR1ywIjeyd/g9KSO/DQhRkHnUHXSS5SDphNPv8lm4eeWZFyQXG8Pcnk/x8svz98dkS2NS0oMUxj&#10;iR7FGMhbGEkR1Rmsr9DpwaJbGPEaq5wy9fYO+FdPDGx6ZnbixjkYesFaZJfHl9nZ0wnHR5Bm+Agt&#10;hmH7AAlo7JyO0qEYBNGxSk+nykQqHC+XZZkvCjRxtOXLoiwvL1IMVj0/t86H9wI0iZuaOix9gmeH&#10;Ox8iHVY9u8RoHpRst1KpdHC7ZqMcOTBsk236jug/uSlDhppeLYvlpMBfIebp+xOElgH7XUld0/Lk&#10;xKqo2zvTpm4MTKppj5SVOQoZtZtUDGMzpoollaPIDbRPqKyDqb1xHHHTg/tOyYCtXVP/bc+coER9&#10;MFidq3yxiLOQDovlZdTVnVuacwszHKFqGiiZtpuQ5ifqZuAGq9jJpO8LkyNlbNkk+3G84kycn5PX&#10;y09g/QMAAP//AwBQSwMEFAAGAAgAAAAhAFRHZJfcAAAABQEAAA8AAABkcnMvZG93bnJldi54bWxM&#10;j0FLxDAQhe+C/yGM4EXc1LrUbm26iKDoTVfRa7aZbYvJpCaz3frvjV70MvB4j/e+qdezs2LCEAdP&#10;Ci4WGQik1puBOgWvL3fnJYjImoy2nlDBF0ZYN8dHta6MP9AzThvuRCqhWGkFPfNYSRnbHp2OCz8i&#10;JW/ng9OcZOikCfqQyp2VeZYV0umB0kKvR7ztsf3Y7J2CcvkwvcfHy6e3ttjZFZ9dTfefQanTk/nm&#10;GgTjzH9h+MFP6NAkpq3fk4nCKkiP8O9N3iovchBbBfkyK0E2tfxP33wDAAD//wMAUEsBAi0AFAAG&#10;AAgAAAAhALaDOJL+AAAA4QEAABMAAAAAAAAAAAAAAAAAAAAAAFtDb250ZW50X1R5cGVzXS54bWxQ&#10;SwECLQAUAAYACAAAACEAOP0h/9YAAACUAQAACwAAAAAAAAAAAAAAAAAvAQAAX3JlbHMvLnJlbHNQ&#10;SwECLQAUAAYACAAAACEALxD2EyUCAABMBAAADgAAAAAAAAAAAAAAAAAuAgAAZHJzL2Uyb0RvYy54&#10;bWxQSwECLQAUAAYACAAAACEAVEdkl9wAAAAFAQAADwAAAAAAAAAAAAAAAAB/BAAAZHJzL2Rvd25y&#10;ZXYueG1sUEsFBgAAAAAEAAQA8wAAAIgFAAAAAA==&#10;">
                <v:textbox>
                  <w:txbxContent>
                    <w:p w14:paraId="45DAE9CB" w14:textId="77777777" w:rsidR="00D920EB" w:rsidRPr="00773E3B" w:rsidRDefault="00D920EB" w:rsidP="00773E3B">
                      <w:pPr>
                        <w:numPr>
                          <w:ilvl w:val="0"/>
                          <w:numId w:val="38"/>
                        </w:numPr>
                        <w:tabs>
                          <w:tab w:val="num" w:pos="720"/>
                        </w:tabs>
                        <w:rPr>
                          <w:rFonts w:eastAsia="Batang"/>
                          <w:b/>
                          <w:lang w:val="en-US" w:eastAsia="zh-CN"/>
                        </w:rPr>
                      </w:pPr>
                      <w:r w:rsidRPr="00773E3B">
                        <w:rPr>
                          <w:rFonts w:eastAsia="Batang"/>
                          <w:b/>
                          <w:lang w:val="en-US" w:eastAsia="zh-CN"/>
                        </w:rPr>
                        <w:t>Reporting criteria, at least for the case when the bandwidth is up to 20 MHz:</w:t>
                      </w:r>
                    </w:p>
                    <w:p w14:paraId="7A47F7C5"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 xml:space="preserve">For NR-U intra-frequency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38.133)</w:t>
                      </w:r>
                    </w:p>
                    <w:p w14:paraId="35F93767"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 xml:space="preserve">For NR-U inter-frequency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38.133)</w:t>
                      </w:r>
                    </w:p>
                    <w:p w14:paraId="34CF478E" w14:textId="77777777" w:rsidR="00D920EB" w:rsidRPr="00773E3B" w:rsidRDefault="00D920EB" w:rsidP="00773E3B">
                      <w:pPr>
                        <w:numPr>
                          <w:ilvl w:val="1"/>
                          <w:numId w:val="38"/>
                        </w:numPr>
                        <w:tabs>
                          <w:tab w:val="num" w:pos="1440"/>
                        </w:tabs>
                        <w:rPr>
                          <w:rFonts w:eastAsia="Batang"/>
                          <w:b/>
                          <w:lang w:val="en-US" w:eastAsia="zh-CN"/>
                        </w:rPr>
                      </w:pPr>
                      <w:r w:rsidRPr="00773E3B">
                        <w:rPr>
                          <w:rFonts w:eastAsia="Batang"/>
                          <w:b/>
                          <w:lang w:val="en-US" w:eastAsia="zh-CN"/>
                        </w:rPr>
                        <w:t>For NR-U inter-RAT (E-UTRAN</w:t>
                      </w:r>
                      <w:r w:rsidRPr="00773E3B">
                        <w:rPr>
                          <w:rFonts w:eastAsia="Batang"/>
                          <w:b/>
                          <w:lang w:val="en-US" w:eastAsia="zh-CN"/>
                        </w:rPr>
                        <w:sym w:font="Symbol" w:char="F02D"/>
                      </w:r>
                      <w:r w:rsidRPr="00773E3B">
                        <w:rPr>
                          <w:rFonts w:eastAsia="Batang"/>
                          <w:b/>
                          <w:lang w:val="en-US" w:eastAsia="zh-CN"/>
                        </w:rPr>
                        <w:t xml:space="preserve">NR) RSSI and channel occupancy measurements, </w:t>
                      </w:r>
                      <w:proofErr w:type="spellStart"/>
                      <w:r w:rsidRPr="00773E3B">
                        <w:rPr>
                          <w:rFonts w:eastAsia="Batang"/>
                          <w:b/>
                          <w:lang w:val="en-US" w:eastAsia="zh-CN"/>
                        </w:rPr>
                        <w:t>Ecat</w:t>
                      </w:r>
                      <w:proofErr w:type="spellEnd"/>
                      <w:r w:rsidRPr="00773E3B">
                        <w:rPr>
                          <w:rFonts w:eastAsia="Batang"/>
                          <w:b/>
                          <w:lang w:val="en-US" w:eastAsia="zh-CN"/>
                        </w:rPr>
                        <w:t>=1 (to be added in TS 36.133)</w:t>
                      </w:r>
                    </w:p>
                    <w:p w14:paraId="2FE78457" w14:textId="77777777" w:rsidR="00D920EB" w:rsidRPr="009C5EB9" w:rsidRDefault="00D920EB" w:rsidP="00773E3B">
                      <w:pPr>
                        <w:rPr>
                          <w:rFonts w:eastAsia="Batang"/>
                          <w:b/>
                          <w:lang w:eastAsia="zh-CN"/>
                        </w:rPr>
                      </w:pPr>
                    </w:p>
                  </w:txbxContent>
                </v:textbox>
                <w10:anchorlock/>
              </v:shape>
            </w:pict>
          </mc:Fallback>
        </mc:AlternateContent>
      </w:r>
    </w:p>
    <w:p w14:paraId="60B8FC92" w14:textId="309F1616" w:rsidR="00773E3B" w:rsidRDefault="00773E3B" w:rsidP="00804DAC">
      <w:pPr>
        <w:rPr>
          <w:lang w:val="en-US"/>
        </w:rPr>
      </w:pPr>
      <w:r>
        <w:rPr>
          <w:lang w:val="en-US"/>
        </w:rPr>
        <w:t xml:space="preserve">In this paper, we further discuss RSSI/CO measurements in terms of measurement bandwidth, measurement configuration, measurement procedure, and measurement capability. </w:t>
      </w:r>
    </w:p>
    <w:p w14:paraId="2D0D5189" w14:textId="4569F68A" w:rsidR="00C51EC1" w:rsidRDefault="00773E3B" w:rsidP="00C51EC1">
      <w:pPr>
        <w:pStyle w:val="Heading1"/>
        <w:rPr>
          <w:lang w:val="en-US"/>
        </w:rPr>
      </w:pPr>
      <w:r>
        <w:rPr>
          <w:lang w:val="en-US"/>
        </w:rPr>
        <w:t>Measurement BW</w:t>
      </w:r>
    </w:p>
    <w:p w14:paraId="600CD5B5" w14:textId="2608286A" w:rsidR="00A265B5" w:rsidRDefault="00A265B5" w:rsidP="00A265B5">
      <w:r>
        <w:rPr>
          <w:lang w:val="en-US"/>
        </w:rPr>
        <w:t xml:space="preserve">In [3], we discussed that </w:t>
      </w:r>
      <w:r>
        <w:t xml:space="preserve">RSSI measurement accuracy requirements should be defined assuming narrowband measurement BW (e.g., SSB BW) to allow for different UE implementations as well as applicability to both intra-frequency and inter-frequency RSSI measurement and CO reporting. Also, given the regulatory requirements for channel occupancy in unlicensed spectrum, narrowband or wideband measurement of RSSI should not result in different outcomes. </w:t>
      </w:r>
    </w:p>
    <w:p w14:paraId="7C7FDF10" w14:textId="220328DA" w:rsidR="00FF0BFE" w:rsidRDefault="00A265B5" w:rsidP="00A265B5">
      <w:r>
        <w:t>However, it was argued in [4] that NB RSSI measurements do not necessarily result in the same outcome as WB RSSI measurements.</w:t>
      </w:r>
      <w:r w:rsidR="00FF0BFE">
        <w:t xml:space="preserve"> We present our rebuttals next. </w:t>
      </w:r>
    </w:p>
    <w:p w14:paraId="18501DE2" w14:textId="641986F3" w:rsidR="00B90CEE" w:rsidRDefault="00B90CEE" w:rsidP="00B90CEE">
      <w:r>
        <w:t xml:space="preserve">It is important to note that using NB (e.g, SSB BW) for RSSI/CO measurement does not mean that such measurements are done on SSB time and frequency resources. As discussed in Section 3, RSSI Measurement Timing Configuration (RMTC) configures UE to perform the measurements in the specific time resources and can be configured by the NW to completely skip over SMTC or SSB bursts. </w:t>
      </w:r>
    </w:p>
    <w:p w14:paraId="6E42EB77" w14:textId="2DF7AD4D" w:rsidR="00B90CEE" w:rsidRDefault="00096A2E" w:rsidP="00A265B5">
      <w:r>
        <w:t xml:space="preserve">ETSI </w:t>
      </w:r>
      <w:r w:rsidR="00F4742D">
        <w:t xml:space="preserve">BRAN requirements on nominal channel bandwidth and </w:t>
      </w:r>
      <w:r w:rsidR="00DE3B48">
        <w:t>O</w:t>
      </w:r>
      <w:r w:rsidR="00F4742D">
        <w:t xml:space="preserve">ccupied </w:t>
      </w:r>
      <w:r w:rsidR="00DE3B48">
        <w:t>C</w:t>
      </w:r>
      <w:r w:rsidR="00F4742D">
        <w:t xml:space="preserve">hannel </w:t>
      </w:r>
      <w:r w:rsidR="00DE3B48">
        <w:t>B</w:t>
      </w:r>
      <w:r w:rsidR="00F4742D">
        <w:t>andwidth</w:t>
      </w:r>
      <w:r w:rsidR="00DE3B48">
        <w:t xml:space="preserve"> (OCB)</w:t>
      </w:r>
      <w:r w:rsidR="00F4742D">
        <w:t xml:space="preserve"> can be found in [5] and are reproduced below:</w:t>
      </w:r>
    </w:p>
    <w:p w14:paraId="5AF04487" w14:textId="187C916B" w:rsidR="00F4742D" w:rsidRDefault="00F4742D" w:rsidP="00A265B5">
      <w:r w:rsidRPr="0074147F">
        <w:rPr>
          <w:noProof/>
          <w:lang w:val="en-US" w:eastAsia="zh-CN"/>
        </w:rPr>
        <w:lastRenderedPageBreak/>
        <mc:AlternateContent>
          <mc:Choice Requires="wps">
            <w:drawing>
              <wp:inline distT="0" distB="0" distL="0" distR="0" wp14:anchorId="7DE37C9A" wp14:editId="581CD5B4">
                <wp:extent cx="5881420" cy="4286707"/>
                <wp:effectExtent l="0" t="0" r="24130" b="1905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86707"/>
                        </a:xfrm>
                        <a:prstGeom prst="rect">
                          <a:avLst/>
                        </a:prstGeom>
                        <a:solidFill>
                          <a:srgbClr val="FFFFFF"/>
                        </a:solidFill>
                        <a:ln w="9525">
                          <a:solidFill>
                            <a:srgbClr val="000000"/>
                          </a:solidFill>
                          <a:miter lim="800000"/>
                          <a:headEnd/>
                          <a:tailEnd/>
                        </a:ln>
                      </wps:spPr>
                      <wps:txbx>
                        <w:txbxContent>
                          <w:p w14:paraId="00939078" w14:textId="77777777" w:rsidR="00D920EB" w:rsidRPr="00F4742D" w:rsidRDefault="00D920EB" w:rsidP="00F4742D">
                            <w:pPr>
                              <w:keepNext/>
                              <w:keepLines/>
                              <w:overflowPunct w:val="0"/>
                              <w:autoSpaceDE w:val="0"/>
                              <w:autoSpaceDN w:val="0"/>
                              <w:adjustRightInd w:val="0"/>
                              <w:spacing w:before="120"/>
                              <w:textAlignment w:val="baseline"/>
                              <w:outlineLvl w:val="2"/>
                              <w:rPr>
                                <w:rFonts w:ascii="Arial" w:eastAsia="Times New Roman" w:hAnsi="Arial"/>
                                <w:sz w:val="28"/>
                              </w:rPr>
                            </w:pPr>
                            <w:bookmarkStart w:id="0" w:name="_Toc477338042"/>
                            <w:bookmarkStart w:id="1" w:name="_Toc477344979"/>
                            <w:bookmarkStart w:id="2" w:name="_Toc477345206"/>
                            <w:bookmarkStart w:id="3" w:name="_Toc477345563"/>
                            <w:bookmarkStart w:id="4" w:name="_Toc477531201"/>
                            <w:bookmarkStart w:id="5" w:name="_Toc477531424"/>
                            <w:bookmarkStart w:id="6" w:name="_Toc477877059"/>
                            <w:bookmarkStart w:id="7" w:name="_Toc483217073"/>
                            <w:bookmarkStart w:id="8" w:name="_Toc483308560"/>
                            <w:bookmarkStart w:id="9"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10" w:name="OLE_LINK5"/>
                            <w:r w:rsidRPr="00F4742D">
                              <w:rPr>
                                <w:rFonts w:ascii="Arial" w:eastAsia="Times New Roman" w:hAnsi="Arial"/>
                                <w:sz w:val="28"/>
                              </w:rPr>
                              <w:t>Channel Bandwidth</w:t>
                            </w:r>
                            <w:bookmarkEnd w:id="0"/>
                            <w:bookmarkEnd w:id="1"/>
                            <w:bookmarkEnd w:id="2"/>
                            <w:bookmarkEnd w:id="3"/>
                            <w:bookmarkEnd w:id="4"/>
                            <w:bookmarkEnd w:id="5"/>
                            <w:bookmarkEnd w:id="6"/>
                            <w:bookmarkEnd w:id="7"/>
                            <w:bookmarkEnd w:id="8"/>
                            <w:bookmarkEnd w:id="9"/>
                            <w:bookmarkEnd w:id="10"/>
                          </w:p>
                          <w:p w14:paraId="3819F1F5"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11" w:name="_Toc477338043"/>
                            <w:bookmarkStart w:id="12" w:name="_Toc477344980"/>
                            <w:bookmarkStart w:id="13" w:name="_Toc477345207"/>
                            <w:bookmarkStart w:id="14" w:name="_Toc477345564"/>
                            <w:bookmarkStart w:id="15" w:name="_Toc477531202"/>
                            <w:bookmarkStart w:id="16" w:name="_Toc477531425"/>
                            <w:bookmarkStart w:id="17" w:name="_Toc477877060"/>
                            <w:bookmarkStart w:id="18" w:name="_Toc483217074"/>
                            <w:bookmarkStart w:id="19" w:name="_Toc483308561"/>
                            <w:bookmarkStart w:id="20" w:name="_Toc483308785"/>
                            <w:r w:rsidRPr="00F4742D">
                              <w:rPr>
                                <w:rFonts w:ascii="Arial" w:eastAsia="Times New Roman" w:hAnsi="Arial"/>
                                <w:sz w:val="24"/>
                              </w:rPr>
                              <w:t>4.2.2.1</w:t>
                            </w:r>
                            <w:r w:rsidRPr="00F4742D">
                              <w:rPr>
                                <w:rFonts w:ascii="Arial" w:eastAsia="Times New Roman" w:hAnsi="Arial"/>
                                <w:sz w:val="24"/>
                              </w:rPr>
                              <w:tab/>
                              <w:t>Definition</w:t>
                            </w:r>
                            <w:bookmarkEnd w:id="11"/>
                            <w:bookmarkEnd w:id="12"/>
                            <w:bookmarkEnd w:id="13"/>
                            <w:bookmarkEnd w:id="14"/>
                            <w:bookmarkEnd w:id="15"/>
                            <w:bookmarkEnd w:id="16"/>
                            <w:bookmarkEnd w:id="17"/>
                            <w:bookmarkEnd w:id="18"/>
                            <w:bookmarkEnd w:id="19"/>
                            <w:bookmarkEnd w:id="20"/>
                          </w:p>
                          <w:p w14:paraId="56641DD8"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59D9C49A"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12583FAF" w14:textId="77777777" w:rsidR="00D920EB" w:rsidRPr="00F4742D" w:rsidRDefault="00D920EB" w:rsidP="00F4742D">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5E8FDA17"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21" w:name="_Toc477338044"/>
                            <w:bookmarkStart w:id="22" w:name="_Toc477344981"/>
                            <w:bookmarkStart w:id="23" w:name="_Toc477345208"/>
                            <w:bookmarkStart w:id="24" w:name="_Toc477345565"/>
                            <w:bookmarkStart w:id="25" w:name="_Toc477531203"/>
                            <w:bookmarkStart w:id="26" w:name="_Toc477531426"/>
                            <w:bookmarkStart w:id="27" w:name="_Toc477877061"/>
                            <w:bookmarkStart w:id="28" w:name="_Toc483217075"/>
                            <w:bookmarkStart w:id="29" w:name="_Toc483308562"/>
                            <w:bookmarkStart w:id="30" w:name="_Toc483308786"/>
                            <w:r w:rsidRPr="00F4742D">
                              <w:rPr>
                                <w:rFonts w:ascii="Arial" w:eastAsia="Times New Roman" w:hAnsi="Arial"/>
                                <w:sz w:val="24"/>
                              </w:rPr>
                              <w:t>4.2.2.2</w:t>
                            </w:r>
                            <w:r w:rsidRPr="00F4742D">
                              <w:rPr>
                                <w:rFonts w:ascii="Arial" w:eastAsia="Times New Roman" w:hAnsi="Arial"/>
                                <w:sz w:val="24"/>
                              </w:rPr>
                              <w:tab/>
                              <w:t>Limits</w:t>
                            </w:r>
                            <w:bookmarkEnd w:id="21"/>
                            <w:bookmarkEnd w:id="22"/>
                            <w:bookmarkEnd w:id="23"/>
                            <w:bookmarkEnd w:id="24"/>
                            <w:bookmarkEnd w:id="25"/>
                            <w:bookmarkEnd w:id="26"/>
                            <w:bookmarkEnd w:id="27"/>
                            <w:bookmarkEnd w:id="28"/>
                            <w:bookmarkEnd w:id="29"/>
                            <w:bookmarkEnd w:id="30"/>
                          </w:p>
                          <w:p w14:paraId="4FAE8310"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MHz. </w:t>
                            </w:r>
                          </w:p>
                          <w:p w14:paraId="74E6ED6D"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5A2F6F06"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68C31FE7"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MHz. </w:t>
                            </w:r>
                          </w:p>
                          <w:p w14:paraId="448E0C59" w14:textId="77777777" w:rsidR="00D920EB" w:rsidRPr="009C5EB9" w:rsidRDefault="00D920EB" w:rsidP="00F474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7DE37C9A" id="Text Box 4" o:spid="_x0000_s1028" type="#_x0000_t202" style="width:463.1pt;height:3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v5UJgIAAEwEAAAOAAAAZHJzL2Uyb0RvYy54bWysVNtu2zAMfR+wfxD0vtgxnCY14hRdugwD&#10;um5Auw9QZDkWJomapMTOvn6UnKbZ7WWYHwRJpA4PD0kvbwatyEE4L8HUdDrJKRGGQyPNrqZfnjZv&#10;FpT4wEzDFBhR06Pw9Gb1+tWyt5UooAPVCEcQxPiqtzXtQrBVlnneCc38BKwwaGzBaRbw6HZZ41iP&#10;6FplRZ5fZT24xjrgwnu8vRuNdJXw21bw8KltvQhE1RS5hbS6tG7jmq2WrNo5ZjvJTzTYP7DQTBoM&#10;eoa6Y4GRvZO/QWnJHXhow4SDzqBtJRcpB8xmmv+SzWPHrEi5oDjenmXy/w+WPxw+OyKbmpaUGKax&#10;RE9iCOQtDKSM6vTWV+j0aNEtDHiNVU6ZensP/KsnBtYdMztx6xz0nWANspvGl9nF0xHHR5Bt/xEa&#10;DMP2ARLQ0DodpUMxCKJjlY7nykQqHC9ni8W0LNDE0VYWi6t5Pk8xWPX83Dof3gvQJG5q6rD0CZ4d&#10;7n2IdFj17BKjeVCy2Uil0sHttmvlyIFhm2zSd0L/yU0Z0tf0elbMRgX+CpGn708QWgbsdyV1TRdn&#10;J1ZF3d6ZJnVjYFKNe6SszEnIqN2oYhi2Q6pYEQNEkbfQHFFZB2N74zjipgP3nZIeW7um/tueOUGJ&#10;+mCwOtfTsoyzkA7lbB51dZeW7aWFGY5QNQ2UjNt1SPMTdTNwi1VsZdL3hcmJMrZskv00XnEmLs/J&#10;6+UnsPoBAAD//wMAUEsDBBQABgAIAAAAIQB1GxJF3QAAAAUBAAAPAAAAZHJzL2Rvd25yZXYueG1s&#10;TI/BTsMwEETvSPyDtUhcEHUaIG1DnAohgeAGBcHVjbdJhL0O9jYNf4/hApeVRjOaeVutJ2fFiCH2&#10;nhTMZxkIpMabnloFry9350sQkTUZbT2hgi+MsK6PjypdGn+gZxw33IpUQrHUCjrmoZQyNh06HWd+&#10;QErezgenOcnQShP0IZU7K/MsK6TTPaWFTg9422Hzsdk7BcvLh/E9Pl48vTXFzq74bDHefwalTk+m&#10;m2sQjBP/heEHP6FDnZi2fk8mCqsgPcK/N3mrvMhBbBUUi6s5yLqS/+nrbwAAAP//AwBQSwECLQAU&#10;AAYACAAAACEAtoM4kv4AAADhAQAAEwAAAAAAAAAAAAAAAAAAAAAAW0NvbnRlbnRfVHlwZXNdLnht&#10;bFBLAQItABQABgAIAAAAIQA4/SH/1gAAAJQBAAALAAAAAAAAAAAAAAAAAC8BAABfcmVscy8ucmVs&#10;c1BLAQItABQABgAIAAAAIQDtQv5UJgIAAEwEAAAOAAAAAAAAAAAAAAAAAC4CAABkcnMvZTJvRG9j&#10;LnhtbFBLAQItABQABgAIAAAAIQB1GxJF3QAAAAUBAAAPAAAAAAAAAAAAAAAAAIAEAABkcnMvZG93&#10;bnJldi54bWxQSwUGAAAAAAQABADzAAAAigUAAAAA&#10;">
                <v:textbox>
                  <w:txbxContent>
                    <w:p w14:paraId="00939078" w14:textId="77777777" w:rsidR="00D920EB" w:rsidRPr="00F4742D" w:rsidRDefault="00D920EB" w:rsidP="00F4742D">
                      <w:pPr>
                        <w:keepNext/>
                        <w:keepLines/>
                        <w:overflowPunct w:val="0"/>
                        <w:autoSpaceDE w:val="0"/>
                        <w:autoSpaceDN w:val="0"/>
                        <w:adjustRightInd w:val="0"/>
                        <w:spacing w:before="120"/>
                        <w:textAlignment w:val="baseline"/>
                        <w:outlineLvl w:val="2"/>
                        <w:rPr>
                          <w:rFonts w:ascii="Arial" w:eastAsia="Times New Roman" w:hAnsi="Arial"/>
                          <w:sz w:val="28"/>
                        </w:rPr>
                      </w:pPr>
                      <w:bookmarkStart w:id="31" w:name="_Toc477338042"/>
                      <w:bookmarkStart w:id="32" w:name="_Toc477344979"/>
                      <w:bookmarkStart w:id="33" w:name="_Toc477345206"/>
                      <w:bookmarkStart w:id="34" w:name="_Toc477345563"/>
                      <w:bookmarkStart w:id="35" w:name="_Toc477531201"/>
                      <w:bookmarkStart w:id="36" w:name="_Toc477531424"/>
                      <w:bookmarkStart w:id="37" w:name="_Toc477877059"/>
                      <w:bookmarkStart w:id="38" w:name="_Toc483217073"/>
                      <w:bookmarkStart w:id="39" w:name="_Toc483308560"/>
                      <w:bookmarkStart w:id="40" w:name="_Toc483308784"/>
                      <w:r w:rsidRPr="00F4742D">
                        <w:rPr>
                          <w:rFonts w:ascii="Arial" w:eastAsia="Times New Roman" w:hAnsi="Arial"/>
                          <w:sz w:val="28"/>
                        </w:rPr>
                        <w:t>4.2.2</w:t>
                      </w:r>
                      <w:r w:rsidRPr="00F4742D">
                        <w:rPr>
                          <w:rFonts w:ascii="Arial" w:eastAsia="Times New Roman" w:hAnsi="Arial"/>
                          <w:sz w:val="28"/>
                        </w:rPr>
                        <w:tab/>
                        <w:t xml:space="preserve">Nominal Channel Bandwidth and Occupied </w:t>
                      </w:r>
                      <w:bookmarkStart w:id="41" w:name="OLE_LINK5"/>
                      <w:r w:rsidRPr="00F4742D">
                        <w:rPr>
                          <w:rFonts w:ascii="Arial" w:eastAsia="Times New Roman" w:hAnsi="Arial"/>
                          <w:sz w:val="28"/>
                        </w:rPr>
                        <w:t>Channel Bandwidth</w:t>
                      </w:r>
                      <w:bookmarkEnd w:id="31"/>
                      <w:bookmarkEnd w:id="32"/>
                      <w:bookmarkEnd w:id="33"/>
                      <w:bookmarkEnd w:id="34"/>
                      <w:bookmarkEnd w:id="35"/>
                      <w:bookmarkEnd w:id="36"/>
                      <w:bookmarkEnd w:id="37"/>
                      <w:bookmarkEnd w:id="38"/>
                      <w:bookmarkEnd w:id="39"/>
                      <w:bookmarkEnd w:id="40"/>
                      <w:bookmarkEnd w:id="41"/>
                    </w:p>
                    <w:p w14:paraId="3819F1F5"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42" w:name="_Toc477338043"/>
                      <w:bookmarkStart w:id="43" w:name="_Toc477344980"/>
                      <w:bookmarkStart w:id="44" w:name="_Toc477345207"/>
                      <w:bookmarkStart w:id="45" w:name="_Toc477345564"/>
                      <w:bookmarkStart w:id="46" w:name="_Toc477531202"/>
                      <w:bookmarkStart w:id="47" w:name="_Toc477531425"/>
                      <w:bookmarkStart w:id="48" w:name="_Toc477877060"/>
                      <w:bookmarkStart w:id="49" w:name="_Toc483217074"/>
                      <w:bookmarkStart w:id="50" w:name="_Toc483308561"/>
                      <w:bookmarkStart w:id="51" w:name="_Toc483308785"/>
                      <w:r w:rsidRPr="00F4742D">
                        <w:rPr>
                          <w:rFonts w:ascii="Arial" w:eastAsia="Times New Roman" w:hAnsi="Arial"/>
                          <w:sz w:val="24"/>
                        </w:rPr>
                        <w:t>4.2.2.1</w:t>
                      </w:r>
                      <w:r w:rsidRPr="00F4742D">
                        <w:rPr>
                          <w:rFonts w:ascii="Arial" w:eastAsia="Times New Roman" w:hAnsi="Arial"/>
                          <w:sz w:val="24"/>
                        </w:rPr>
                        <w:tab/>
                        <w:t>Definition</w:t>
                      </w:r>
                      <w:bookmarkEnd w:id="42"/>
                      <w:bookmarkEnd w:id="43"/>
                      <w:bookmarkEnd w:id="44"/>
                      <w:bookmarkEnd w:id="45"/>
                      <w:bookmarkEnd w:id="46"/>
                      <w:bookmarkEnd w:id="47"/>
                      <w:bookmarkEnd w:id="48"/>
                      <w:bookmarkEnd w:id="49"/>
                      <w:bookmarkEnd w:id="50"/>
                      <w:bookmarkEnd w:id="51"/>
                    </w:p>
                    <w:p w14:paraId="56641DD8"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is the widest band of frequencies, inclusive of guard bands, assigned to a single channel.</w:t>
                      </w:r>
                    </w:p>
                    <w:p w14:paraId="59D9C49A"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is the bandwidth containing 99 % of the power of the signal.</w:t>
                      </w:r>
                    </w:p>
                    <w:p w14:paraId="12583FAF" w14:textId="77777777" w:rsidR="00D920EB" w:rsidRPr="00F4742D" w:rsidRDefault="00D920EB" w:rsidP="00F4742D">
                      <w:pPr>
                        <w:keepNext/>
                        <w:keepLines/>
                        <w:overflowPunct w:val="0"/>
                        <w:autoSpaceDE w:val="0"/>
                        <w:autoSpaceDN w:val="0"/>
                        <w:adjustRightInd w:val="0"/>
                        <w:textAlignment w:val="baseline"/>
                        <w:rPr>
                          <w:rFonts w:eastAsia="Times New Roman"/>
                        </w:rPr>
                      </w:pPr>
                      <w:r w:rsidRPr="00F4742D">
                        <w:rPr>
                          <w:rFonts w:eastAsia="Times New Roman"/>
                        </w:rPr>
                        <w:t xml:space="preserve">When equipment has simultaneous transmissions in adjacent channels, these transmissions may be considered as one signal with an actual </w:t>
                      </w:r>
                      <w:r w:rsidRPr="00F4742D">
                        <w:rPr>
                          <w:rFonts w:eastAsia="Times New Roman"/>
                          <w:i/>
                        </w:rPr>
                        <w:t>Nominal Channel Bandwidth</w:t>
                      </w:r>
                      <w:r w:rsidRPr="00F4742D">
                        <w:rPr>
                          <w:rFonts w:eastAsia="Times New Roman"/>
                        </w:rPr>
                        <w:t xml:space="preserve"> of "n" times the individual </w:t>
                      </w:r>
                      <w:r w:rsidRPr="00F4742D">
                        <w:rPr>
                          <w:rFonts w:eastAsia="Times New Roman"/>
                          <w:i/>
                        </w:rPr>
                        <w:t>Nominal Channel Bandwidth</w:t>
                      </w:r>
                      <w:r w:rsidRPr="00F4742D">
                        <w:rPr>
                          <w:rFonts w:eastAsia="Times New Roman"/>
                        </w:rPr>
                        <w:t xml:space="preserve"> where "n" is the number of adjacent channels. When equipment has simultaneous transmissions in non-adjacent channels, each power envelope shall be considered separately.</w:t>
                      </w:r>
                    </w:p>
                    <w:p w14:paraId="5E8FDA17" w14:textId="77777777" w:rsidR="00D920EB" w:rsidRPr="00F4742D" w:rsidRDefault="00D920EB" w:rsidP="00F4742D">
                      <w:pPr>
                        <w:keepNext/>
                        <w:keepLines/>
                        <w:overflowPunct w:val="0"/>
                        <w:autoSpaceDE w:val="0"/>
                        <w:autoSpaceDN w:val="0"/>
                        <w:adjustRightInd w:val="0"/>
                        <w:spacing w:before="120"/>
                        <w:textAlignment w:val="baseline"/>
                        <w:outlineLvl w:val="3"/>
                        <w:rPr>
                          <w:rFonts w:ascii="Arial" w:eastAsia="Times New Roman" w:hAnsi="Arial"/>
                          <w:sz w:val="24"/>
                        </w:rPr>
                      </w:pPr>
                      <w:bookmarkStart w:id="52" w:name="_Toc477338044"/>
                      <w:bookmarkStart w:id="53" w:name="_Toc477344981"/>
                      <w:bookmarkStart w:id="54" w:name="_Toc477345208"/>
                      <w:bookmarkStart w:id="55" w:name="_Toc477345565"/>
                      <w:bookmarkStart w:id="56" w:name="_Toc477531203"/>
                      <w:bookmarkStart w:id="57" w:name="_Toc477531426"/>
                      <w:bookmarkStart w:id="58" w:name="_Toc477877061"/>
                      <w:bookmarkStart w:id="59" w:name="_Toc483217075"/>
                      <w:bookmarkStart w:id="60" w:name="_Toc483308562"/>
                      <w:bookmarkStart w:id="61" w:name="_Toc483308786"/>
                      <w:r w:rsidRPr="00F4742D">
                        <w:rPr>
                          <w:rFonts w:ascii="Arial" w:eastAsia="Times New Roman" w:hAnsi="Arial"/>
                          <w:sz w:val="24"/>
                        </w:rPr>
                        <w:t>4.2.2.2</w:t>
                      </w:r>
                      <w:r w:rsidRPr="00F4742D">
                        <w:rPr>
                          <w:rFonts w:ascii="Arial" w:eastAsia="Times New Roman" w:hAnsi="Arial"/>
                          <w:sz w:val="24"/>
                        </w:rPr>
                        <w:tab/>
                        <w:t>Limits</w:t>
                      </w:r>
                      <w:bookmarkEnd w:id="52"/>
                      <w:bookmarkEnd w:id="53"/>
                      <w:bookmarkEnd w:id="54"/>
                      <w:bookmarkEnd w:id="55"/>
                      <w:bookmarkEnd w:id="56"/>
                      <w:bookmarkEnd w:id="57"/>
                      <w:bookmarkEnd w:id="58"/>
                      <w:bookmarkEnd w:id="59"/>
                      <w:bookmarkEnd w:id="60"/>
                      <w:bookmarkEnd w:id="61"/>
                    </w:p>
                    <w:p w14:paraId="4FAE8310"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Nominal Channel Bandwidth</w:t>
                      </w:r>
                      <w:r w:rsidRPr="00F4742D">
                        <w:rPr>
                          <w:rFonts w:eastAsia="Times New Roman"/>
                        </w:rPr>
                        <w:t xml:space="preserve"> for a single </w:t>
                      </w:r>
                      <w:r w:rsidRPr="00F4742D">
                        <w:rPr>
                          <w:rFonts w:eastAsia="Times New Roman"/>
                          <w:i/>
                        </w:rPr>
                        <w:t>Operating Channel</w:t>
                      </w:r>
                      <w:r w:rsidRPr="00F4742D">
                        <w:rPr>
                          <w:rFonts w:eastAsia="Times New Roman"/>
                        </w:rPr>
                        <w:t xml:space="preserve"> shall be 20 </w:t>
                      </w:r>
                      <w:proofErr w:type="spellStart"/>
                      <w:r w:rsidRPr="00F4742D">
                        <w:rPr>
                          <w:rFonts w:eastAsia="Times New Roman"/>
                        </w:rPr>
                        <w:t>MHz.</w:t>
                      </w:r>
                      <w:proofErr w:type="spellEnd"/>
                      <w:r w:rsidRPr="00F4742D">
                        <w:rPr>
                          <w:rFonts w:eastAsia="Times New Roman"/>
                        </w:rPr>
                        <w:t xml:space="preserve"> </w:t>
                      </w:r>
                    </w:p>
                    <w:p w14:paraId="74E6ED6D"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Alternatively, equipment may implement a lower </w:t>
                      </w:r>
                      <w:r w:rsidRPr="00F4742D">
                        <w:rPr>
                          <w:rFonts w:eastAsia="Times New Roman"/>
                          <w:i/>
                        </w:rPr>
                        <w:t>Nominal Channel Bandwidth</w:t>
                      </w:r>
                      <w:r w:rsidRPr="00F4742D">
                        <w:rPr>
                          <w:rFonts w:eastAsia="Times New Roman"/>
                        </w:rPr>
                        <w:t xml:space="preserve"> with a minimum of 5 MHz, providing they still comply with the </w:t>
                      </w:r>
                      <w:r w:rsidRPr="00F4742D">
                        <w:rPr>
                          <w:rFonts w:eastAsia="Times New Roman"/>
                          <w:i/>
                        </w:rPr>
                        <w:t>Nominal Centre Frequencies</w:t>
                      </w:r>
                      <w:r w:rsidRPr="00F4742D">
                        <w:rPr>
                          <w:rFonts w:eastAsia="Times New Roman"/>
                        </w:rPr>
                        <w:t xml:space="preserve"> defined in clause 4.2.1 (20 MHz raster).</w:t>
                      </w:r>
                    </w:p>
                    <w:p w14:paraId="5A2F6F06"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The </w:t>
                      </w:r>
                      <w:r w:rsidRPr="00F4742D">
                        <w:rPr>
                          <w:rFonts w:eastAsia="Times New Roman"/>
                          <w:i/>
                        </w:rPr>
                        <w:t>Occupied Channel Bandwidth</w:t>
                      </w:r>
                      <w:r w:rsidRPr="00F4742D">
                        <w:rPr>
                          <w:rFonts w:eastAsia="Times New Roman"/>
                        </w:rPr>
                        <w:t xml:space="preserve"> shall be between 80 % and 100 % of the </w:t>
                      </w:r>
                      <w:r w:rsidRPr="00F4742D">
                        <w:rPr>
                          <w:rFonts w:eastAsia="Times New Roman"/>
                          <w:i/>
                        </w:rPr>
                        <w:t>Nominal Channel Bandwidth</w:t>
                      </w:r>
                      <w:r w:rsidRPr="00F4742D">
                        <w:rPr>
                          <w:rFonts w:eastAsia="Times New Roman"/>
                        </w:rPr>
                        <w:t xml:space="preserve">. In case of smart antenna systems (devices with multiple transmit chains) each of the transmit chains shall meet this requirement. The </w:t>
                      </w:r>
                      <w:r w:rsidRPr="00F4742D">
                        <w:rPr>
                          <w:rFonts w:eastAsia="Times New Roman"/>
                          <w:i/>
                        </w:rPr>
                        <w:t>Occupied Channel Bandwidth</w:t>
                      </w:r>
                      <w:r w:rsidRPr="00F4742D">
                        <w:rPr>
                          <w:rFonts w:eastAsia="Times New Roman"/>
                        </w:rPr>
                        <w:t xml:space="preserve"> might change with time/payload.</w:t>
                      </w:r>
                    </w:p>
                    <w:p w14:paraId="68C31FE7" w14:textId="77777777" w:rsidR="00D920EB" w:rsidRPr="00F4742D" w:rsidRDefault="00D920EB" w:rsidP="00F4742D">
                      <w:pPr>
                        <w:overflowPunct w:val="0"/>
                        <w:autoSpaceDE w:val="0"/>
                        <w:autoSpaceDN w:val="0"/>
                        <w:adjustRightInd w:val="0"/>
                        <w:textAlignment w:val="baseline"/>
                        <w:rPr>
                          <w:rFonts w:eastAsia="Times New Roman"/>
                        </w:rPr>
                      </w:pPr>
                      <w:r w:rsidRPr="00F4742D">
                        <w:rPr>
                          <w:rFonts w:eastAsia="Times New Roman"/>
                        </w:rPr>
                        <w:t xml:space="preserve">During a </w:t>
                      </w:r>
                      <w:r w:rsidRPr="00F4742D">
                        <w:rPr>
                          <w:rFonts w:eastAsia="Times New Roman"/>
                          <w:i/>
                        </w:rPr>
                        <w:t>Channel Occupancy Time</w:t>
                      </w:r>
                      <w:r w:rsidRPr="00F4742D">
                        <w:rPr>
                          <w:rFonts w:eastAsia="Times New Roman"/>
                        </w:rPr>
                        <w:t xml:space="preserve"> </w:t>
                      </w:r>
                      <w:r w:rsidRPr="00F4742D">
                        <w:rPr>
                          <w:rFonts w:eastAsia="Times New Roman"/>
                          <w:i/>
                        </w:rPr>
                        <w:t>(COT)</w:t>
                      </w:r>
                      <w:r w:rsidRPr="00F4742D">
                        <w:rPr>
                          <w:rFonts w:eastAsia="Times New Roman"/>
                        </w:rPr>
                        <w:t xml:space="preserve">, equipment may operate temporarily with an </w:t>
                      </w:r>
                      <w:r w:rsidRPr="00F4742D">
                        <w:rPr>
                          <w:rFonts w:eastAsia="Times New Roman"/>
                          <w:i/>
                        </w:rPr>
                        <w:t>Occupied Channel Bandwidth</w:t>
                      </w:r>
                      <w:r w:rsidRPr="00F4742D">
                        <w:rPr>
                          <w:rFonts w:eastAsia="Times New Roman"/>
                        </w:rPr>
                        <w:t xml:space="preserve"> of less than 80 % of its </w:t>
                      </w:r>
                      <w:r w:rsidRPr="00F4742D">
                        <w:rPr>
                          <w:rFonts w:eastAsia="Times New Roman"/>
                          <w:i/>
                        </w:rPr>
                        <w:t>Nominal Channel Bandwidth</w:t>
                      </w:r>
                      <w:r w:rsidRPr="00F4742D">
                        <w:rPr>
                          <w:rFonts w:eastAsia="Times New Roman"/>
                        </w:rPr>
                        <w:t xml:space="preserve"> with a minimum of 2 </w:t>
                      </w:r>
                      <w:proofErr w:type="spellStart"/>
                      <w:r w:rsidRPr="00F4742D">
                        <w:rPr>
                          <w:rFonts w:eastAsia="Times New Roman"/>
                        </w:rPr>
                        <w:t>MHz.</w:t>
                      </w:r>
                      <w:proofErr w:type="spellEnd"/>
                      <w:r w:rsidRPr="00F4742D">
                        <w:rPr>
                          <w:rFonts w:eastAsia="Times New Roman"/>
                          <w:sz w:val="16"/>
                          <w:lang w:eastAsia="x-none"/>
                        </w:rPr>
                        <w:t/>
                      </w:r>
                      <w:r w:rsidRPr="00F4742D">
                        <w:rPr>
                          <w:rFonts w:eastAsia="Times New Roman"/>
                        </w:rPr>
                        <w:t xml:space="preserve"> </w:t>
                      </w:r>
                    </w:p>
                    <w:p w14:paraId="448E0C59" w14:textId="77777777" w:rsidR="00D920EB" w:rsidRPr="009C5EB9" w:rsidRDefault="00D920EB" w:rsidP="00F4742D">
                      <w:pPr>
                        <w:rPr>
                          <w:rFonts w:eastAsia="Batang"/>
                          <w:b/>
                          <w:lang w:eastAsia="zh-CN"/>
                        </w:rPr>
                      </w:pPr>
                    </w:p>
                  </w:txbxContent>
                </v:textbox>
                <w10:anchorlock/>
              </v:shape>
            </w:pict>
          </mc:Fallback>
        </mc:AlternateContent>
      </w:r>
    </w:p>
    <w:p w14:paraId="36755530" w14:textId="0BDA9F80" w:rsidR="00DE3B48" w:rsidRDefault="00DE3B48" w:rsidP="00A265B5">
      <w:r>
        <w:t>Based on the above excerpt, the following scenarios may occur for the equipment (UE or gNB):</w:t>
      </w:r>
    </w:p>
    <w:p w14:paraId="69B084FD" w14:textId="5DDBFCCB" w:rsidR="00A265B5" w:rsidRPr="00DE3B48" w:rsidRDefault="00DE3B48" w:rsidP="00DE3B48">
      <w:pPr>
        <w:pStyle w:val="ListParagraph"/>
        <w:numPr>
          <w:ilvl w:val="0"/>
          <w:numId w:val="39"/>
        </w:numPr>
        <w:rPr>
          <w:sz w:val="20"/>
          <w:szCs w:val="20"/>
        </w:rPr>
      </w:pPr>
      <w:r>
        <w:rPr>
          <w:sz w:val="20"/>
          <w:szCs w:val="20"/>
        </w:rPr>
        <w:t>It</w:t>
      </w:r>
      <w:r w:rsidRPr="00DE3B48">
        <w:rPr>
          <w:sz w:val="20"/>
          <w:szCs w:val="20"/>
        </w:rPr>
        <w:t xml:space="preserve"> implements a nominal channel bandwidth of 20 MHz with </w:t>
      </w:r>
      <w:r>
        <w:rPr>
          <w:sz w:val="20"/>
          <w:szCs w:val="20"/>
        </w:rPr>
        <w:t>OCB</w:t>
      </w:r>
      <w:r w:rsidRPr="00DE3B48">
        <w:rPr>
          <w:sz w:val="20"/>
          <w:szCs w:val="20"/>
        </w:rPr>
        <w:t xml:space="preserve"> of at least 80% (</w:t>
      </w:r>
      <w:r w:rsidR="00123552">
        <w:rPr>
          <w:sz w:val="20"/>
          <w:szCs w:val="20"/>
        </w:rPr>
        <w:t>Scenario</w:t>
      </w:r>
      <w:r w:rsidRPr="00DE3B48">
        <w:rPr>
          <w:sz w:val="20"/>
          <w:szCs w:val="20"/>
        </w:rPr>
        <w:t xml:space="preserve"> A in Figure 1)</w:t>
      </w:r>
    </w:p>
    <w:p w14:paraId="6BD715F2" w14:textId="23E1254D" w:rsidR="00DE3B48" w:rsidRDefault="00DE3B48" w:rsidP="00DE3B48">
      <w:pPr>
        <w:pStyle w:val="ListParagraph"/>
        <w:numPr>
          <w:ilvl w:val="0"/>
          <w:numId w:val="39"/>
        </w:numPr>
        <w:rPr>
          <w:sz w:val="20"/>
          <w:szCs w:val="20"/>
        </w:rPr>
      </w:pPr>
      <w:r>
        <w:rPr>
          <w:sz w:val="20"/>
          <w:szCs w:val="20"/>
        </w:rPr>
        <w:t>It implements a lower nominal channel bandwidth with a minimum of 5 MHz placed on the 20 MHz raster (</w:t>
      </w:r>
      <w:r w:rsidR="00123552">
        <w:rPr>
          <w:sz w:val="20"/>
          <w:szCs w:val="20"/>
        </w:rPr>
        <w:t>Scenario</w:t>
      </w:r>
      <w:r>
        <w:rPr>
          <w:sz w:val="20"/>
          <w:szCs w:val="20"/>
        </w:rPr>
        <w:t xml:space="preserve"> B in Figure 1)</w:t>
      </w:r>
    </w:p>
    <w:p w14:paraId="4101E308" w14:textId="77B063FE" w:rsidR="00DE3B48" w:rsidRDefault="00DE3B48" w:rsidP="00DE3B48">
      <w:pPr>
        <w:pStyle w:val="ListParagraph"/>
        <w:numPr>
          <w:ilvl w:val="0"/>
          <w:numId w:val="39"/>
        </w:numPr>
        <w:rPr>
          <w:sz w:val="20"/>
          <w:szCs w:val="20"/>
        </w:rPr>
      </w:pPr>
      <w:r>
        <w:rPr>
          <w:sz w:val="20"/>
          <w:szCs w:val="20"/>
        </w:rPr>
        <w:t>It operates “</w:t>
      </w:r>
      <w:r w:rsidRPr="00FB3DCA">
        <w:rPr>
          <w:b/>
          <w:bCs/>
          <w:i/>
          <w:iCs/>
          <w:sz w:val="20"/>
          <w:szCs w:val="20"/>
        </w:rPr>
        <w:t>temporarily</w:t>
      </w:r>
      <w:r>
        <w:rPr>
          <w:sz w:val="20"/>
          <w:szCs w:val="20"/>
        </w:rPr>
        <w:t>” with an OCB of less than 80% of its nominal channel bandwidth with a minimum of 2 MHz. In this scenario, few cases can occur:</w:t>
      </w:r>
    </w:p>
    <w:p w14:paraId="44F9090D" w14:textId="5B441D93" w:rsidR="00DE3B48" w:rsidRDefault="00DE3B48" w:rsidP="00DE3B48">
      <w:pPr>
        <w:pStyle w:val="ListParagraph"/>
        <w:numPr>
          <w:ilvl w:val="1"/>
          <w:numId w:val="39"/>
        </w:numPr>
        <w:rPr>
          <w:sz w:val="20"/>
          <w:szCs w:val="20"/>
        </w:rPr>
      </w:pPr>
      <w:r>
        <w:rPr>
          <w:sz w:val="20"/>
          <w:szCs w:val="20"/>
        </w:rPr>
        <w:t>One chunk of 2 MHz is occupied (</w:t>
      </w:r>
      <w:r w:rsidR="00123552">
        <w:rPr>
          <w:sz w:val="20"/>
          <w:szCs w:val="20"/>
        </w:rPr>
        <w:t>Scenario</w:t>
      </w:r>
      <w:r>
        <w:rPr>
          <w:sz w:val="20"/>
          <w:szCs w:val="20"/>
        </w:rPr>
        <w:t xml:space="preserve"> C in Figure 1)</w:t>
      </w:r>
    </w:p>
    <w:p w14:paraId="381C424E" w14:textId="0F359614" w:rsidR="00DE3B48" w:rsidRDefault="00DE3B48" w:rsidP="00DE3B48">
      <w:pPr>
        <w:pStyle w:val="ListParagraph"/>
        <w:numPr>
          <w:ilvl w:val="1"/>
          <w:numId w:val="39"/>
        </w:numPr>
        <w:rPr>
          <w:sz w:val="20"/>
          <w:szCs w:val="20"/>
        </w:rPr>
      </w:pPr>
      <w:r>
        <w:rPr>
          <w:sz w:val="20"/>
          <w:szCs w:val="20"/>
        </w:rPr>
        <w:t xml:space="preserve">Few chunks of 2/4/8 MHz are </w:t>
      </w:r>
      <w:r w:rsidR="00F74723">
        <w:rPr>
          <w:sz w:val="20"/>
          <w:szCs w:val="20"/>
        </w:rPr>
        <w:t xml:space="preserve">FDM’ed </w:t>
      </w:r>
      <w:r>
        <w:rPr>
          <w:sz w:val="20"/>
          <w:szCs w:val="20"/>
        </w:rPr>
        <w:t xml:space="preserve">by one or more equipments such that OCB </w:t>
      </w:r>
      <w:r w:rsidR="00F74723">
        <w:rPr>
          <w:sz w:val="20"/>
          <w:szCs w:val="20"/>
        </w:rPr>
        <w:t xml:space="preserve">is still less than 80% </w:t>
      </w:r>
      <w:r>
        <w:rPr>
          <w:sz w:val="20"/>
          <w:szCs w:val="20"/>
        </w:rPr>
        <w:t>(not shown in Figure 1)</w:t>
      </w:r>
    </w:p>
    <w:p w14:paraId="33105FFD" w14:textId="17593322" w:rsidR="00DE3B48" w:rsidRDefault="00123552" w:rsidP="00DE3B48">
      <w:pPr>
        <w:pStyle w:val="ListParagraph"/>
        <w:numPr>
          <w:ilvl w:val="1"/>
          <w:numId w:val="39"/>
        </w:numPr>
        <w:rPr>
          <w:sz w:val="20"/>
          <w:szCs w:val="20"/>
        </w:rPr>
      </w:pPr>
      <w:r>
        <w:rPr>
          <w:sz w:val="20"/>
          <w:szCs w:val="20"/>
        </w:rPr>
        <w:t>Few c</w:t>
      </w:r>
      <w:r w:rsidR="00F74723">
        <w:rPr>
          <w:sz w:val="20"/>
          <w:szCs w:val="20"/>
        </w:rPr>
        <w:t>hunks of 2/4/8 MHz are FDM’ed by one or more equipments such that OCB is above 80% (</w:t>
      </w:r>
      <w:r>
        <w:rPr>
          <w:sz w:val="20"/>
          <w:szCs w:val="20"/>
        </w:rPr>
        <w:t>Scenario</w:t>
      </w:r>
      <w:r w:rsidR="00F74723">
        <w:rPr>
          <w:sz w:val="20"/>
          <w:szCs w:val="20"/>
        </w:rPr>
        <w:t xml:space="preserve"> D in Figure 1)</w:t>
      </w:r>
    </w:p>
    <w:p w14:paraId="16A7CA52" w14:textId="1E5DD7DA" w:rsidR="00F74723" w:rsidRDefault="00F74723" w:rsidP="00F74723"/>
    <w:p w14:paraId="112E7661" w14:textId="3239EA48" w:rsidR="00766B32" w:rsidRPr="00766B32" w:rsidRDefault="00766B32" w:rsidP="00F74723">
      <w:pPr>
        <w:rPr>
          <w:b/>
          <w:bCs/>
        </w:rPr>
      </w:pPr>
      <w:r w:rsidRPr="00766B32">
        <w:rPr>
          <w:b/>
          <w:bCs/>
        </w:rPr>
        <w:t>Observation 1. ETSI BRAN requirements on nominal channel BW and OCB can be summarized as follows:</w:t>
      </w:r>
    </w:p>
    <w:p w14:paraId="72DD93EF" w14:textId="6BEB7E9B" w:rsidR="00766B32" w:rsidRPr="00766B32" w:rsidRDefault="00766B32" w:rsidP="00766B32">
      <w:pPr>
        <w:pStyle w:val="ListParagraph"/>
        <w:numPr>
          <w:ilvl w:val="0"/>
          <w:numId w:val="40"/>
        </w:numPr>
        <w:rPr>
          <w:b/>
          <w:bCs/>
          <w:sz w:val="20"/>
          <w:szCs w:val="20"/>
        </w:rPr>
      </w:pPr>
      <w:r w:rsidRPr="00766B32">
        <w:rPr>
          <w:b/>
          <w:bCs/>
          <w:sz w:val="20"/>
          <w:szCs w:val="20"/>
        </w:rPr>
        <w:t>The nominal channel BW is 20 MHz and OCB shall be above 80%.</w:t>
      </w:r>
    </w:p>
    <w:p w14:paraId="4464EBAE" w14:textId="155DFA6F" w:rsidR="00766B32" w:rsidRPr="00766B32" w:rsidRDefault="00766B32" w:rsidP="00766B32">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515D22DB" w14:textId="3DE63FBD" w:rsidR="00766B32" w:rsidRPr="00766B32" w:rsidRDefault="00766B32" w:rsidP="00766B32">
      <w:pPr>
        <w:pStyle w:val="ListParagraph"/>
        <w:numPr>
          <w:ilvl w:val="0"/>
          <w:numId w:val="40"/>
        </w:numPr>
        <w:rPr>
          <w:b/>
          <w:bCs/>
          <w:sz w:val="20"/>
          <w:szCs w:val="20"/>
        </w:rPr>
      </w:pPr>
      <w:r w:rsidRPr="00766B32">
        <w:rPr>
          <w:b/>
          <w:bCs/>
          <w:sz w:val="20"/>
          <w:szCs w:val="20"/>
        </w:rPr>
        <w:t>An equipment may operate temporarily with an OCB of less than 80% with a minimum of 2 MHz.</w:t>
      </w:r>
    </w:p>
    <w:p w14:paraId="452818A4" w14:textId="77777777" w:rsidR="00766B32" w:rsidRDefault="00766B32" w:rsidP="00766B32"/>
    <w:p w14:paraId="1B485DFA" w14:textId="472B59F7" w:rsidR="00F74723" w:rsidRDefault="00123552" w:rsidP="00F74723">
      <w:r>
        <w:t>Scenario</w:t>
      </w:r>
      <w:r w:rsidR="00F74723">
        <w:t xml:space="preserve"> (A) corresponds to typical operation in unlicensed band. Since OCB of at least 80% is met, RSSI measurements with wideband or narrowband result in the similar outcome. This is no different than existing Release 15 measurements (RSRP/RSRQ/SINR) in which UE makes measurements based on SSB BW for the entire BWP. If </w:t>
      </w:r>
      <w:r w:rsidR="00946EA0">
        <w:t xml:space="preserve">RSRP (power metric) or </w:t>
      </w:r>
      <w:r w:rsidR="00F74723">
        <w:t xml:space="preserve">RSRQ/SINR (quality metrics) </w:t>
      </w:r>
      <w:proofErr w:type="gramStart"/>
      <w:r w:rsidR="00F74723">
        <w:t>are allowed to</w:t>
      </w:r>
      <w:proofErr w:type="gramEnd"/>
      <w:r w:rsidR="00F74723">
        <w:t xml:space="preserve"> be measured </w:t>
      </w:r>
      <w:r w:rsidR="00946EA0">
        <w:t>in</w:t>
      </w:r>
      <w:r w:rsidR="00F74723">
        <w:t xml:space="preserve"> NB</w:t>
      </w:r>
      <w:r w:rsidR="00946EA0">
        <w:t xml:space="preserve"> to represent UE’s BWP</w:t>
      </w:r>
      <w:r w:rsidR="00F74723">
        <w:t>, RSSI (</w:t>
      </w:r>
      <w:r w:rsidR="00946EA0">
        <w:t xml:space="preserve">power metric) should be similar. Placement of measurement BW within the OCB should be left to UE implementation, but a logical choice appears to be centered on the 20 MHz raster. </w:t>
      </w:r>
    </w:p>
    <w:p w14:paraId="6E8526D6" w14:textId="1F5CD1E2" w:rsidR="00946EA0" w:rsidRDefault="00123552" w:rsidP="00F74723">
      <w:r>
        <w:t>Scenario</w:t>
      </w:r>
      <w:r w:rsidR="00946EA0">
        <w:t xml:space="preserve"> (B) corresponds to atypical operation in unlicensed band (</w:t>
      </w:r>
      <w:proofErr w:type="gramStart"/>
      <w:r w:rsidR="00946EA0">
        <w:t>e.g,.</w:t>
      </w:r>
      <w:proofErr w:type="gramEnd"/>
      <w:r w:rsidR="00946EA0">
        <w:t xml:space="preserve"> microphones). Given nominal channel bandwidth of at least 5 MHz, </w:t>
      </w:r>
      <w:r w:rsidR="001C2357">
        <w:t xml:space="preserve">OCB should at least be 4 MHz. If a UE performs WB RSSI measurement, it actually dilutes the true RSSI value and underestimates it by a factor </w:t>
      </w:r>
      <w:proofErr w:type="gramStart"/>
      <w:r w:rsidR="001C2357">
        <w:t xml:space="preserve">of </w:t>
      </w:r>
      <w:r w:rsidR="00946EA0">
        <w:t xml:space="preserve"> </w:t>
      </w:r>
      <w:r w:rsidR="001C2357">
        <w:t>~</w:t>
      </w:r>
      <w:proofErr w:type="gramEnd"/>
      <w:r w:rsidR="001C2357">
        <w:t xml:space="preserve">7 dB. On the other hand, a UE that uses NB RSSI </w:t>
      </w:r>
      <w:r w:rsidR="001C2357">
        <w:lastRenderedPageBreak/>
        <w:t xml:space="preserve">measurement (e.g., SSB BW) reports the RSSI results more or less accurately for 15 kHz SCS or under-reports it by a factor of ~ 1.6 dB for 30 kHz SCS assuming it places the measurement BW on the center of the 20 MHz raster. Either way, NB RSSI measurement outperforms WB RSSI measurement in </w:t>
      </w:r>
      <w:r w:rsidR="002D28B4">
        <w:t>scenario</w:t>
      </w:r>
      <w:r w:rsidR="001C2357">
        <w:t xml:space="preserve"> (B). </w:t>
      </w:r>
    </w:p>
    <w:p w14:paraId="36DC91E1" w14:textId="77777777" w:rsidR="00F74723" w:rsidRDefault="00F74723" w:rsidP="00F74723">
      <w:pPr>
        <w:keepNext/>
      </w:pPr>
      <w:r>
        <w:object w:dxaOrig="10522" w:dyaOrig="5596" w14:anchorId="67FD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254.7pt" o:ole="">
            <v:imagedata r:id="rId8" o:title=""/>
          </v:shape>
          <o:OLEObject Type="Embed" ProgID="Visio.Drawing.11" ShapeID="_x0000_i1025" DrawAspect="Content" ObjectID="_1631708643" r:id="rId9"/>
        </w:object>
      </w:r>
    </w:p>
    <w:p w14:paraId="7E0AAA45" w14:textId="32DFCAF0" w:rsidR="00F74723" w:rsidRPr="00F74723" w:rsidRDefault="00F74723" w:rsidP="00F7472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OCB scenarios vs. RSSI Measurement BW</w:t>
      </w:r>
    </w:p>
    <w:p w14:paraId="78BE8247" w14:textId="328BFE45" w:rsidR="004E360C" w:rsidRPr="00FB3DCA" w:rsidRDefault="002D28B4" w:rsidP="00773E3B">
      <w:pPr>
        <w:rPr>
          <w:lang w:val="en-US"/>
        </w:rPr>
      </w:pPr>
      <w:r>
        <w:rPr>
          <w:lang w:val="en-US"/>
        </w:rPr>
        <w:t>Scenarios</w:t>
      </w:r>
      <w:r w:rsidR="005E19BE" w:rsidRPr="00FB3DCA">
        <w:rPr>
          <w:lang w:val="en-US"/>
        </w:rPr>
        <w:t xml:space="preserve"> (C) </w:t>
      </w:r>
      <w:r w:rsidR="00F03A24" w:rsidRPr="00FB3DCA">
        <w:rPr>
          <w:lang w:val="en-US"/>
        </w:rPr>
        <w:t xml:space="preserve">and (D) (and </w:t>
      </w:r>
      <w:r>
        <w:rPr>
          <w:lang w:val="en-US"/>
        </w:rPr>
        <w:t>those</w:t>
      </w:r>
      <w:r w:rsidR="00F03A24" w:rsidRPr="00FB3DCA">
        <w:rPr>
          <w:lang w:val="en-US"/>
        </w:rPr>
        <w:t xml:space="preserve"> in between not shown in Figure 1) </w:t>
      </w:r>
      <w:r w:rsidR="005E19BE" w:rsidRPr="00FB3DCA">
        <w:rPr>
          <w:lang w:val="en-US"/>
        </w:rPr>
        <w:t>correspond to WiFi 802.11ax operation in which WiFi Access Point (AP) can allocate a minimum of 2 MHz to a station (STA)</w:t>
      </w:r>
      <w:r w:rsidR="00F03A24" w:rsidRPr="00FB3DCA">
        <w:rPr>
          <w:lang w:val="en-US"/>
        </w:rPr>
        <w:t xml:space="preserve"> using the “temporary” OCB rule. The allocation can also be 4 or 8 MHz. As it is clearly stated in [5], this behavior is temporar</w:t>
      </w:r>
      <w:r w:rsidR="00FB3DCA">
        <w:rPr>
          <w:lang w:val="en-US"/>
        </w:rPr>
        <w:t>y and in the long term, OCB rules must be obeyed</w:t>
      </w:r>
      <w:r w:rsidR="00F03A24" w:rsidRPr="00FB3DCA">
        <w:rPr>
          <w:lang w:val="en-US"/>
        </w:rPr>
        <w:t xml:space="preserve">. In our view, RSSI measurements, configured by NW through RRC configuration, is </w:t>
      </w:r>
      <w:r w:rsidR="00FB3DCA">
        <w:rPr>
          <w:lang w:val="en-US"/>
        </w:rPr>
        <w:t xml:space="preserve">intended to measure long term behaviors. </w:t>
      </w:r>
    </w:p>
    <w:p w14:paraId="0D23D75D" w14:textId="5D5F9DFF" w:rsidR="00773E3B" w:rsidRDefault="00F03A24" w:rsidP="00773E3B">
      <w:pPr>
        <w:rPr>
          <w:lang w:val="en-US"/>
        </w:rPr>
      </w:pPr>
      <w:r w:rsidRPr="00FB3DCA">
        <w:rPr>
          <w:lang w:val="en-US"/>
        </w:rPr>
        <w:t xml:space="preserve">Nonetheless, let us consider </w:t>
      </w:r>
      <w:r w:rsidR="002D28B4">
        <w:rPr>
          <w:lang w:val="en-US"/>
        </w:rPr>
        <w:t>scenario</w:t>
      </w:r>
      <w:r w:rsidRPr="00FB3DCA">
        <w:rPr>
          <w:lang w:val="en-US"/>
        </w:rPr>
        <w:t xml:space="preserve"> (C) from NB vs. WB measurement perspective. A UE that performs NB RSSI measurements may completely miss </w:t>
      </w:r>
      <w:r w:rsidR="004E360C" w:rsidRPr="00FB3DCA">
        <w:rPr>
          <w:lang w:val="en-US"/>
        </w:rPr>
        <w:t xml:space="preserve">the temporary 2 MHz allocation and report RSSI corresponding to background noise in the worst case. It can also catch the temporary 2 MHz allocation by luck and report an RSSI estimate much closer to the true value </w:t>
      </w:r>
      <w:r w:rsidR="00935E0F">
        <w:rPr>
          <w:lang w:val="en-US"/>
        </w:rPr>
        <w:t xml:space="preserve">in the best case. In contrast, </w:t>
      </w:r>
      <w:r w:rsidR="004E360C" w:rsidRPr="00FB3DCA">
        <w:rPr>
          <w:lang w:val="en-US"/>
        </w:rPr>
        <w:t xml:space="preserve">a UE that does WB RSSI measurement </w:t>
      </w:r>
      <w:r w:rsidR="002D28B4">
        <w:rPr>
          <w:lang w:val="en-US"/>
        </w:rPr>
        <w:t xml:space="preserve">always </w:t>
      </w:r>
      <w:r w:rsidR="004E360C" w:rsidRPr="00FB3DCA">
        <w:rPr>
          <w:lang w:val="en-US"/>
        </w:rPr>
        <w:t xml:space="preserve">under-estimates it by a factor of 10 dB. In our opinion, both NB measurements (in case of complete miss) and WB measurements are useless and not much different. </w:t>
      </w:r>
      <w:r w:rsidRPr="00FB3DCA">
        <w:rPr>
          <w:lang w:val="en-US"/>
        </w:rPr>
        <w:t xml:space="preserve"> </w:t>
      </w:r>
      <w:r w:rsidR="00FB3DCA" w:rsidRPr="00FB3DCA">
        <w:rPr>
          <w:lang w:val="en-US"/>
        </w:rPr>
        <w:t xml:space="preserve">In WiFi 802.11ax, </w:t>
      </w:r>
      <w:r w:rsidR="002D28B4">
        <w:rPr>
          <w:lang w:val="en-US"/>
        </w:rPr>
        <w:t>scenario</w:t>
      </w:r>
      <w:r w:rsidR="00FB3DCA" w:rsidRPr="00FB3DCA">
        <w:rPr>
          <w:lang w:val="en-US"/>
        </w:rPr>
        <w:t xml:space="preserve"> (D) is more realistic as AP shares the available spectrum </w:t>
      </w:r>
      <w:r w:rsidR="002D28B4">
        <w:rPr>
          <w:lang w:val="en-US"/>
        </w:rPr>
        <w:t xml:space="preserve">efficiently </w:t>
      </w:r>
      <w:r w:rsidR="00FB3DCA" w:rsidRPr="00FB3DCA">
        <w:rPr>
          <w:lang w:val="en-US"/>
        </w:rPr>
        <w:t xml:space="preserve">with a few STAs by FDM’ing smaller allocations to each. As more STAs are multiplexed (different colors in Figure 1), </w:t>
      </w:r>
      <w:r w:rsidR="002D28B4">
        <w:rPr>
          <w:lang w:val="en-US"/>
        </w:rPr>
        <w:t>scenario</w:t>
      </w:r>
      <w:r w:rsidR="00FB3DCA" w:rsidRPr="00FB3DCA">
        <w:rPr>
          <w:lang w:val="en-US"/>
        </w:rPr>
        <w:t xml:space="preserve"> (D) approaches </w:t>
      </w:r>
      <w:r w:rsidR="002D28B4">
        <w:rPr>
          <w:lang w:val="en-US"/>
        </w:rPr>
        <w:t>scenario</w:t>
      </w:r>
      <w:r w:rsidR="00FB3DCA" w:rsidRPr="00FB3DCA">
        <w:rPr>
          <w:lang w:val="en-US"/>
        </w:rPr>
        <w:t xml:space="preserve"> (B) and </w:t>
      </w:r>
      <w:r w:rsidR="00D920EB">
        <w:rPr>
          <w:lang w:val="en-US"/>
        </w:rPr>
        <w:t xml:space="preserve">then </w:t>
      </w:r>
      <w:r w:rsidR="002D28B4">
        <w:rPr>
          <w:lang w:val="en-US"/>
        </w:rPr>
        <w:t>scenario</w:t>
      </w:r>
      <w:r w:rsidR="00FB3DCA" w:rsidRPr="00FB3DCA">
        <w:rPr>
          <w:lang w:val="en-US"/>
        </w:rPr>
        <w:t xml:space="preserve"> (A) which were already discussed above. </w:t>
      </w:r>
    </w:p>
    <w:p w14:paraId="383D2A8F" w14:textId="42FD326A" w:rsidR="003572BF" w:rsidRPr="003572BF" w:rsidRDefault="003572BF" w:rsidP="00773E3B">
      <w:pPr>
        <w:rPr>
          <w:b/>
          <w:bCs/>
          <w:lang w:val="en-US"/>
        </w:rPr>
      </w:pPr>
      <w:r w:rsidRPr="003572BF">
        <w:rPr>
          <w:b/>
          <w:bCs/>
          <w:lang w:val="en-US"/>
        </w:rPr>
        <w:t>Observation 2. Comparing WB vs NB RSSI measurement performance in the scenarios outlined in Observation 1 and Figure 1:</w:t>
      </w:r>
    </w:p>
    <w:p w14:paraId="0683DBA3" w14:textId="3066588A" w:rsidR="003572BF" w:rsidRPr="003572BF" w:rsidRDefault="003572BF" w:rsidP="003572BF">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615F6D17" w14:textId="66DE8385" w:rsidR="003572BF" w:rsidRPr="003572BF" w:rsidRDefault="003572BF" w:rsidP="003572BF">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01687D6E" w14:textId="0E842B57" w:rsidR="003572BF" w:rsidRDefault="003572BF" w:rsidP="003572BF">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7F7F5FE6" w14:textId="38C0358B" w:rsidR="003572BF" w:rsidRDefault="003572BF" w:rsidP="003572BF">
      <w:pPr>
        <w:rPr>
          <w:b/>
          <w:bCs/>
        </w:rPr>
      </w:pPr>
    </w:p>
    <w:p w14:paraId="40D2EC1D" w14:textId="43ACF09C" w:rsidR="003572BF" w:rsidRDefault="003572BF" w:rsidP="003572BF">
      <w:r>
        <w:t xml:space="preserve">Hence, for all intents and purposes of RSSI/CO measurements, NB measurements are </w:t>
      </w:r>
      <w:proofErr w:type="gramStart"/>
      <w:r>
        <w:t>sufficient</w:t>
      </w:r>
      <w:proofErr w:type="gramEnd"/>
      <w:r>
        <w:t xml:space="preserve"> </w:t>
      </w:r>
      <w:r w:rsidR="00842335">
        <w:t>and, in some cases, even preferable to WB measurements. We reiterate our proposal from [3]:</w:t>
      </w:r>
    </w:p>
    <w:p w14:paraId="4A6136E7" w14:textId="0E98C2E4" w:rsidR="003572BF" w:rsidRPr="00842335" w:rsidRDefault="00842335" w:rsidP="00842335">
      <w:pPr>
        <w:rPr>
          <w:b/>
          <w:bCs/>
        </w:rPr>
      </w:pPr>
      <w:r w:rsidRPr="00842335">
        <w:rPr>
          <w:b/>
          <w:bCs/>
        </w:rPr>
        <w:t xml:space="preserve">Proposal 1. RAN4 to define RSSI measurement accuracy requirements based on narrowband measurements (e.g., SSB BW). </w:t>
      </w:r>
    </w:p>
    <w:p w14:paraId="530805C1" w14:textId="6A07DD51" w:rsidR="0005179F" w:rsidRDefault="00773E3B" w:rsidP="00773E3B">
      <w:pPr>
        <w:pStyle w:val="Heading1"/>
        <w:rPr>
          <w:lang w:val="en-US"/>
        </w:rPr>
      </w:pPr>
      <w:r>
        <w:rPr>
          <w:lang w:val="en-US"/>
        </w:rPr>
        <w:lastRenderedPageBreak/>
        <w:t>Measurement Configuration</w:t>
      </w:r>
    </w:p>
    <w:p w14:paraId="03511E40" w14:textId="4E27F479" w:rsidR="002F7F7C" w:rsidRDefault="00DB6458" w:rsidP="00773E3B">
      <w:pPr>
        <w:rPr>
          <w:lang w:val="en-US"/>
        </w:rPr>
      </w:pPr>
      <w:r>
        <w:rPr>
          <w:lang w:val="en-US"/>
        </w:rPr>
        <w:t>RSSI measurement</w:t>
      </w:r>
      <w:r w:rsidR="002F7F7C">
        <w:rPr>
          <w:lang w:val="en-US"/>
        </w:rPr>
        <w:t xml:space="preserve"> configuration should unambiguously indicate the followings for intra-/inter-frequency RSSI measurement of each NR-U cell:</w:t>
      </w:r>
    </w:p>
    <w:p w14:paraId="51D5BA9B" w14:textId="25966DB8" w:rsidR="002F7F7C" w:rsidRPr="002F7F7C" w:rsidRDefault="002F7F7C" w:rsidP="002F7F7C">
      <w:pPr>
        <w:pStyle w:val="ListParagraph"/>
        <w:numPr>
          <w:ilvl w:val="0"/>
          <w:numId w:val="44"/>
        </w:numPr>
        <w:rPr>
          <w:sz w:val="20"/>
          <w:szCs w:val="20"/>
        </w:rPr>
      </w:pPr>
      <w:r w:rsidRPr="002F7F7C">
        <w:rPr>
          <w:sz w:val="20"/>
          <w:szCs w:val="20"/>
        </w:rPr>
        <w:t>Measurement periodicity</w:t>
      </w:r>
    </w:p>
    <w:p w14:paraId="7D3459DE" w14:textId="77777777" w:rsidR="002F7F7C" w:rsidRPr="002F7F7C" w:rsidRDefault="002F7F7C" w:rsidP="002F7F7C">
      <w:pPr>
        <w:pStyle w:val="ListParagraph"/>
        <w:numPr>
          <w:ilvl w:val="0"/>
          <w:numId w:val="44"/>
        </w:numPr>
        <w:rPr>
          <w:sz w:val="20"/>
          <w:szCs w:val="20"/>
        </w:rPr>
      </w:pPr>
      <w:r w:rsidRPr="002F7F7C">
        <w:rPr>
          <w:sz w:val="20"/>
          <w:szCs w:val="20"/>
        </w:rPr>
        <w:t>Measurement occasion slot offset</w:t>
      </w:r>
    </w:p>
    <w:p w14:paraId="466F44CD" w14:textId="77777777" w:rsidR="002F7F7C" w:rsidRPr="002F7F7C" w:rsidRDefault="002F7F7C" w:rsidP="002F7F7C">
      <w:pPr>
        <w:pStyle w:val="ListParagraph"/>
        <w:numPr>
          <w:ilvl w:val="0"/>
          <w:numId w:val="44"/>
        </w:numPr>
        <w:rPr>
          <w:sz w:val="20"/>
          <w:szCs w:val="20"/>
        </w:rPr>
      </w:pPr>
      <w:r w:rsidRPr="002F7F7C">
        <w:rPr>
          <w:sz w:val="20"/>
          <w:szCs w:val="20"/>
        </w:rPr>
        <w:t>Measurement duration</w:t>
      </w:r>
    </w:p>
    <w:p w14:paraId="03FE8760" w14:textId="77777777" w:rsidR="002F7F7C" w:rsidRPr="002F7F7C" w:rsidRDefault="002F7F7C" w:rsidP="002F7F7C">
      <w:pPr>
        <w:pStyle w:val="ListParagraph"/>
        <w:numPr>
          <w:ilvl w:val="0"/>
          <w:numId w:val="44"/>
        </w:numPr>
        <w:rPr>
          <w:sz w:val="20"/>
          <w:szCs w:val="20"/>
        </w:rPr>
      </w:pPr>
      <w:r w:rsidRPr="002F7F7C">
        <w:rPr>
          <w:sz w:val="20"/>
          <w:szCs w:val="20"/>
        </w:rPr>
        <w:t>Subband(s) to be measured</w:t>
      </w:r>
    </w:p>
    <w:p w14:paraId="6A6AEC89" w14:textId="05B1A13B" w:rsidR="002F7F7C" w:rsidRDefault="002F7F7C" w:rsidP="002F7F7C">
      <w:r>
        <w:t xml:space="preserve"> </w:t>
      </w:r>
    </w:p>
    <w:p w14:paraId="0A83043E" w14:textId="62B568C7" w:rsidR="00A818BF" w:rsidRDefault="00A818BF" w:rsidP="002F7F7C">
      <w:r>
        <w:t>The first three attributes existed in LTE LAA as well. The last attribute is new to NR-U.</w:t>
      </w:r>
    </w:p>
    <w:p w14:paraId="6B16D845" w14:textId="77777777" w:rsidR="00A818BF" w:rsidRDefault="00A818BF" w:rsidP="002F7F7C">
      <w:r>
        <w:t xml:space="preserve">Measurement periodicity and slot offset determine the exact time instances where UE should start the measurement. They should be conveyed in the measurement object </w:t>
      </w:r>
      <w:proofErr w:type="gramStart"/>
      <w:r>
        <w:t>similar to</w:t>
      </w:r>
      <w:proofErr w:type="gramEnd"/>
      <w:r>
        <w:t xml:space="preserve"> LTE LAA or the SMTC in NR. </w:t>
      </w:r>
    </w:p>
    <w:p w14:paraId="013A42F7" w14:textId="69DC6B74" w:rsidR="00DB6458" w:rsidRDefault="00511EC3" w:rsidP="002F7F7C">
      <w:r>
        <w:t>One possible unit for m</w:t>
      </w:r>
      <w:r w:rsidR="00A818BF">
        <w:t xml:space="preserve">easurement duration </w:t>
      </w:r>
      <w:r>
        <w:t>is the</w:t>
      </w:r>
      <w:r w:rsidR="00A818BF">
        <w:t xml:space="preserve"> data OFDM symbols on the target (measured) cell. </w:t>
      </w:r>
      <w:r>
        <w:t>However,</w:t>
      </w:r>
      <w:r w:rsidR="00A818BF">
        <w:t xml:space="preserve"> the length of</w:t>
      </w:r>
      <w:r w:rsidR="00DB6458">
        <w:t xml:space="preserve"> each OFDM symbol depends on the numerology of the target cell which </w:t>
      </w:r>
      <w:r w:rsidR="00365143">
        <w:t xml:space="preserve">can be unknown to UE and </w:t>
      </w:r>
      <w:r w:rsidR="00DB6458">
        <w:t>may vary in each cell (e.g., due to BWP switch) or each carrier (due to different SCS)</w:t>
      </w:r>
      <w:r>
        <w:t>. Hence,</w:t>
      </w:r>
      <w:r w:rsidR="00DB6458">
        <w:t xml:space="preserve"> the reference for determining the RSSI measurement duration should be independently configured. Alternatively, the </w:t>
      </w:r>
      <w:r>
        <w:t>measurement</w:t>
      </w:r>
      <w:r w:rsidR="00DB6458">
        <w:t xml:space="preserve"> duration can be specified in an absolute unit of time (e.g., fractional or multiple of 1-ms subframe)</w:t>
      </w:r>
      <w:r w:rsidR="00410940">
        <w:t xml:space="preserve"> as mentioned in [6]</w:t>
      </w:r>
      <w:r w:rsidR="00DB6458">
        <w:t xml:space="preserve">. </w:t>
      </w:r>
      <w:r w:rsidR="00365143">
        <w:t>I</w:t>
      </w:r>
      <w:r w:rsidR="00DB6458">
        <w:t>f measurement duration is specified in an absolute unit of time, UE should quantize it to</w:t>
      </w:r>
      <w:r w:rsidR="00365143">
        <w:t xml:space="preserve"> smaller units (e.g., symbol) corresponding to a reference numerology for CO reporting. In our view, it is preferable to define the measurement duration with respect to an independent numerology in the measurement object. </w:t>
      </w:r>
    </w:p>
    <w:p w14:paraId="31D733DE" w14:textId="5DB411CB" w:rsidR="00365143" w:rsidRDefault="00365143" w:rsidP="002F7F7C">
      <w:pPr>
        <w:rPr>
          <w:b/>
          <w:bCs/>
        </w:rPr>
      </w:pPr>
      <w:r w:rsidRPr="00BC3E67">
        <w:rPr>
          <w:b/>
          <w:bCs/>
        </w:rPr>
        <w:t xml:space="preserve">Observation 3. RSSI measurement duration can either be specified in an absolute unit of time (e.g., </w:t>
      </w:r>
      <w:r w:rsidR="00BC3E67" w:rsidRPr="00BC3E67">
        <w:rPr>
          <w:b/>
          <w:bCs/>
        </w:rPr>
        <w:t>1-ms subframe) or with respect to an independent reference numerology. If measurement duration is specified in an absolute unit of time, UE should quantize it to smaller units (e.g., symbol) corresponding to a reference numerology for CO reporting.</w:t>
      </w:r>
    </w:p>
    <w:p w14:paraId="601B7342" w14:textId="15888A36" w:rsidR="00BC3E67" w:rsidRDefault="00BC3E67" w:rsidP="002F7F7C">
      <w:pPr>
        <w:rPr>
          <w:b/>
          <w:bCs/>
        </w:rPr>
      </w:pPr>
      <w:r>
        <w:rPr>
          <w:b/>
          <w:bCs/>
        </w:rPr>
        <w:t xml:space="preserve">Proposal 2. RAN4 to adopt defining the measurement duration with respect to an independent numerology in the measurement object. </w:t>
      </w:r>
    </w:p>
    <w:p w14:paraId="322B090B" w14:textId="39D5D23D" w:rsidR="00BC3E67" w:rsidRDefault="00BC3E67" w:rsidP="002F7F7C">
      <w:r>
        <w:t xml:space="preserve">Furthermore, the maximum duration of RSSI measurement window should be capped to 5ms to be able to fit it into a measurement gap for inter-frequency RSSI. This is </w:t>
      </w:r>
      <w:proofErr w:type="gramStart"/>
      <w:r>
        <w:t>similar to</w:t>
      </w:r>
      <w:proofErr w:type="gramEnd"/>
      <w:r>
        <w:t xml:space="preserve"> LTE LAA. </w:t>
      </w:r>
    </w:p>
    <w:p w14:paraId="2EE1F91E" w14:textId="5AEF4D65" w:rsidR="00BC3E67" w:rsidRPr="00BC3E67" w:rsidRDefault="00BC3E67" w:rsidP="00BC3E67">
      <w:pPr>
        <w:rPr>
          <w:b/>
          <w:bCs/>
        </w:rPr>
      </w:pPr>
      <w:r w:rsidRPr="00BC3E67">
        <w:rPr>
          <w:b/>
          <w:bCs/>
        </w:rPr>
        <w:t>Proposal 3. Maximum duration of RSSI measurement window to be capped to 5ms.</w:t>
      </w:r>
    </w:p>
    <w:p w14:paraId="4BE9C3D8" w14:textId="77777777" w:rsidR="00071CFE" w:rsidRDefault="003A49A3" w:rsidP="002F7F7C">
      <w:r>
        <w:t>The last attribute in the RSSI measurement configuration relates to measurement frequency resources.</w:t>
      </w:r>
      <w:r w:rsidR="00720155">
        <w:t xml:space="preserve"> An important differentiation in NR-U compared to LTE LAA is the wideband operation. In this scheme, gNB and UE can operate in an 80 MHz BWP, as an example, for transmission and reception but perform separate LBT in each 20 MHz subband separately. Therefore, the RSSI measurement configuration should indicate the frequency resources in which the RSSI measurements should occur. In [4] and [6], it was suggested to indicate the RSSI measurement frequency resources in units of MHz. In our view, configuring the measurement frequency resources in subband unit is more flexible and allows NW to configure RSSI measurements even in non-contiguous portions of the BWP. For instance, if NW has apriori knowledge of the RSSI/CO for the second subband within an 80 MHz BWP and does not need UE RSSI measurements, it can </w:t>
      </w:r>
      <w:r w:rsidR="00071CFE">
        <w:t xml:space="preserve">configure UE to bypass measurements on that subband. </w:t>
      </w:r>
    </w:p>
    <w:p w14:paraId="67024D7F" w14:textId="7DF8EC8D" w:rsidR="00BC3E67" w:rsidRPr="00071CFE" w:rsidRDefault="00071CFE" w:rsidP="002F7F7C">
      <w:pPr>
        <w:rPr>
          <w:b/>
          <w:bCs/>
        </w:rPr>
      </w:pPr>
      <w:r w:rsidRPr="00071CFE">
        <w:rPr>
          <w:b/>
          <w:bCs/>
        </w:rPr>
        <w:t>Observation 4. Configuring the measurement frequency resources in subband unit is more flexible than units of MHz as it allows NW to configure RSSI measurements even in non-contiguous portions of the BWP.</w:t>
      </w:r>
    </w:p>
    <w:p w14:paraId="5197CDEA" w14:textId="5D749FA3" w:rsidR="00071CFE" w:rsidRPr="00071CFE" w:rsidRDefault="00071CFE" w:rsidP="002F7F7C">
      <w:pPr>
        <w:rPr>
          <w:b/>
          <w:bCs/>
        </w:rPr>
      </w:pPr>
      <w:r w:rsidRPr="00071CFE">
        <w:rPr>
          <w:b/>
          <w:bCs/>
        </w:rPr>
        <w:t>Proposal 4. RSSI measurement frequency resources to be in subband unit.</w:t>
      </w:r>
    </w:p>
    <w:p w14:paraId="648190D4" w14:textId="302611B0" w:rsidR="00A818BF" w:rsidRPr="00DB6458" w:rsidRDefault="00071CFE" w:rsidP="002F7F7C">
      <w:r>
        <w:t xml:space="preserve">Finally, </w:t>
      </w:r>
      <w:proofErr w:type="gramStart"/>
      <w:r>
        <w:t>in order for</w:t>
      </w:r>
      <w:proofErr w:type="gramEnd"/>
      <w:r>
        <w:t xml:space="preserve"> RSSI/CO measurements to be useful, proper configuration of time/frequency resources is necessary. For instance, inter-frequency RSSI measurement time resources should fall in measurement gaps or measurement duration should be configured appropriately to capture a </w:t>
      </w:r>
      <w:proofErr w:type="gramStart"/>
      <w:r>
        <w:t>sufficient number of</w:t>
      </w:r>
      <w:proofErr w:type="gramEnd"/>
      <w:r>
        <w:t xml:space="preserve"> samples. </w:t>
      </w:r>
      <w:r w:rsidR="00DB6458">
        <w:t xml:space="preserve">It is the responsibility of the NW to properly configure the time and frequency resources of </w:t>
      </w:r>
      <w:r>
        <w:t xml:space="preserve">RSSI measurements. </w:t>
      </w:r>
      <w:r w:rsidR="00A818BF">
        <w:t xml:space="preserve"> </w:t>
      </w:r>
    </w:p>
    <w:p w14:paraId="1F321998" w14:textId="6A93D6D5" w:rsidR="00773E3B" w:rsidRDefault="00773E3B" w:rsidP="00773E3B">
      <w:pPr>
        <w:pStyle w:val="Heading1"/>
        <w:rPr>
          <w:lang w:val="en-US"/>
        </w:rPr>
      </w:pPr>
      <w:r>
        <w:rPr>
          <w:lang w:val="en-US"/>
        </w:rPr>
        <w:lastRenderedPageBreak/>
        <w:t>Measurement Procedure</w:t>
      </w:r>
    </w:p>
    <w:p w14:paraId="7CDA7F37" w14:textId="4E2771EA" w:rsidR="00154687" w:rsidRDefault="00A36A75" w:rsidP="00154687">
      <w:pPr>
        <w:rPr>
          <w:lang w:val="en-US"/>
        </w:rPr>
      </w:pPr>
      <w:r>
        <w:rPr>
          <w:lang w:val="en-US"/>
        </w:rPr>
        <w:t xml:space="preserve">As discussed earlier, </w:t>
      </w:r>
      <w:r w:rsidR="00DE29D7">
        <w:rPr>
          <w:lang w:val="en-US"/>
        </w:rPr>
        <w:t>the LBT outcome is independent for each subband. Hence, it is logical to assume that the RSSI/CO measurement outcome is also different for each subband.</w:t>
      </w:r>
      <w:r w:rsidR="00154687">
        <w:rPr>
          <w:lang w:val="en-US"/>
        </w:rPr>
        <w:t xml:space="preserve"> Consequently, UE should measure RSSI/CO for each subband independently. To do this, TDM’ing measurements across subbands should be considered as the baseline implementation particularly since performing simultaneous measurements across the wideband operation in inter-frequency scenarios is not possible. </w:t>
      </w:r>
    </w:p>
    <w:p w14:paraId="3EDCEA64" w14:textId="495C35DA" w:rsidR="00154687" w:rsidRPr="00B0437C" w:rsidRDefault="00154687" w:rsidP="00154687">
      <w:pPr>
        <w:rPr>
          <w:b/>
          <w:bCs/>
        </w:rPr>
      </w:pPr>
      <w:r w:rsidRPr="00B0437C">
        <w:rPr>
          <w:b/>
        </w:rPr>
        <w:t xml:space="preserve">Proposal </w:t>
      </w:r>
      <w:r>
        <w:rPr>
          <w:b/>
        </w:rPr>
        <w:t>5</w:t>
      </w:r>
      <w:r w:rsidRPr="00B0437C">
        <w:rPr>
          <w:b/>
        </w:rPr>
        <w:t>.</w:t>
      </w:r>
      <w:r>
        <w:t xml:space="preserve"> </w:t>
      </w:r>
      <w:r>
        <w:rPr>
          <w:b/>
          <w:bCs/>
        </w:rPr>
        <w:t>If the UE is configured to measure RSSI and CO for multiple subbands in the configured BWP, it perform</w:t>
      </w:r>
      <w:r w:rsidR="007459BC">
        <w:rPr>
          <w:b/>
          <w:bCs/>
        </w:rPr>
        <w:t>s</w:t>
      </w:r>
      <w:r>
        <w:rPr>
          <w:b/>
          <w:bCs/>
        </w:rPr>
        <w:t xml:space="preserve"> measurements </w:t>
      </w:r>
      <w:r w:rsidR="007459BC">
        <w:rPr>
          <w:b/>
          <w:bCs/>
        </w:rPr>
        <w:t>serially, i.e., one subband per RMTC</w:t>
      </w:r>
      <w:r>
        <w:rPr>
          <w:b/>
          <w:bCs/>
        </w:rPr>
        <w:t>.</w:t>
      </w:r>
    </w:p>
    <w:p w14:paraId="5A49F453" w14:textId="49BA25C0" w:rsidR="00154687" w:rsidRDefault="00154687" w:rsidP="00154687">
      <w:r>
        <w:t xml:space="preserve">It is noted that serial RSSI/CO measurement of subbands does not necessarily mean that UE reports the results per subband. UE can aggregate subband measurement results, generate a single report, and transmit it. </w:t>
      </w:r>
    </w:p>
    <w:p w14:paraId="7F3C568F" w14:textId="77777777" w:rsidR="009825EE" w:rsidRDefault="000449B4" w:rsidP="00154687">
      <w:r>
        <w:t xml:space="preserve">However, </w:t>
      </w:r>
      <w:proofErr w:type="gramStart"/>
      <w:r>
        <w:t>similar to</w:t>
      </w:r>
      <w:proofErr w:type="gramEnd"/>
      <w:r>
        <w:t xml:space="preserve"> what was </w:t>
      </w:r>
      <w:r w:rsidR="00C92330">
        <w:t xml:space="preserve">discussed in Section 2 and Observation 2, aggregating the RSSI results of all subbands in one report, or simultaneous RSSI measurement of the entire </w:t>
      </w:r>
      <w:r w:rsidR="00DA17CE">
        <w:t>BWP,</w:t>
      </w:r>
      <w:r w:rsidR="00C92330">
        <w:t xml:space="preserve"> may potentially lead to over-/under-estimation of the true value particularly if the LBT outcome is different per subband. In</w:t>
      </w:r>
      <w:r w:rsidR="009825EE">
        <w:t xml:space="preserve"> our view, per-subband measurement and reporting of RSSI/CO is more accurate and useful.</w:t>
      </w:r>
    </w:p>
    <w:p w14:paraId="49E98817" w14:textId="5CD156A7" w:rsidR="00773E3B" w:rsidRPr="009825EE" w:rsidRDefault="009825EE" w:rsidP="00773E3B">
      <w:pPr>
        <w:rPr>
          <w:b/>
          <w:bCs/>
        </w:rPr>
      </w:pPr>
      <w:r w:rsidRPr="009825EE">
        <w:rPr>
          <w:b/>
          <w:bCs/>
        </w:rPr>
        <w:t>Observation 5. Aggregating the RSSI results of all subbands in one report, or simultaneous RSSI measurement of the entire BWP, may potentially lead to over-/under-estimation of the true value particularly if the LBT outcome is different per subband. Per-subband measurement and reporting of RSSI/CO is more accurate and useful.</w:t>
      </w:r>
    </w:p>
    <w:p w14:paraId="417C6493" w14:textId="2C08C6D0" w:rsidR="00773E3B" w:rsidRPr="00773E3B" w:rsidRDefault="00773E3B" w:rsidP="00773E3B">
      <w:pPr>
        <w:pStyle w:val="Heading1"/>
        <w:rPr>
          <w:lang w:val="en-US"/>
        </w:rPr>
      </w:pPr>
      <w:r>
        <w:rPr>
          <w:lang w:val="en-US"/>
        </w:rPr>
        <w:t>Measurement Capability</w:t>
      </w:r>
    </w:p>
    <w:p w14:paraId="4A033E9F" w14:textId="101AD021" w:rsidR="00773E3B" w:rsidRDefault="00340748" w:rsidP="00773E3B">
      <w:pPr>
        <w:rPr>
          <w:lang w:val="en-US"/>
        </w:rPr>
      </w:pPr>
      <w:r>
        <w:rPr>
          <w:lang w:val="en-US"/>
        </w:rPr>
        <w:t>RSSI/CO measurement is already agreed in RAN2#106 to be an optional UE capability [7].</w:t>
      </w:r>
      <w:r w:rsidR="00D469C6">
        <w:rPr>
          <w:lang w:val="en-US"/>
        </w:rPr>
        <w:t xml:space="preserve"> In RAN4#92 meeting, it was agreed to set the weight for reporting criteria (E</w:t>
      </w:r>
      <w:r w:rsidR="00D469C6" w:rsidRPr="00D469C6">
        <w:rPr>
          <w:vertAlign w:val="subscript"/>
          <w:lang w:val="en-US"/>
        </w:rPr>
        <w:t>cat</w:t>
      </w:r>
      <w:r w:rsidR="00D469C6">
        <w:rPr>
          <w:lang w:val="en-US"/>
        </w:rPr>
        <w:t>) of RSSI/CO in intra-frequency, inter-frequency, and inter-RAT scenarios equal to 1 when BWP is up to 20 MHz. The open issue is the value of E</w:t>
      </w:r>
      <w:r w:rsidR="00D469C6" w:rsidRPr="00D469C6">
        <w:rPr>
          <w:vertAlign w:val="subscript"/>
          <w:lang w:val="en-US"/>
        </w:rPr>
        <w:t>cat</w:t>
      </w:r>
      <w:r w:rsidR="00D469C6">
        <w:rPr>
          <w:vertAlign w:val="subscript"/>
          <w:lang w:val="en-US"/>
        </w:rPr>
        <w:t xml:space="preserve"> </w:t>
      </w:r>
      <w:r w:rsidR="00D469C6">
        <w:rPr>
          <w:lang w:val="en-US"/>
        </w:rPr>
        <w:t>when the BWP of the target (measured) cell is greater than 20 MHz.</w:t>
      </w:r>
    </w:p>
    <w:p w14:paraId="1488AFC9" w14:textId="77777777" w:rsidR="00DA6877" w:rsidRDefault="00D469C6" w:rsidP="00773E3B">
      <w:pPr>
        <w:rPr>
          <w:lang w:val="en-US"/>
        </w:rPr>
      </w:pPr>
      <w:r>
        <w:rPr>
          <w:lang w:val="en-US"/>
        </w:rPr>
        <w:t>As an example, for intra-frequency RSSI/CO measurements in LTE LAA as specified in clause 8.2.2 of TS 36.133, E</w:t>
      </w:r>
      <w:r w:rsidRPr="00D469C6">
        <w:rPr>
          <w:vertAlign w:val="subscript"/>
          <w:lang w:val="en-US"/>
        </w:rPr>
        <w:t>cat</w:t>
      </w:r>
      <w:r>
        <w:rPr>
          <w:vertAlign w:val="subscript"/>
          <w:lang w:val="en-US"/>
        </w:rPr>
        <w:t xml:space="preserve"> </w:t>
      </w:r>
      <w:r>
        <w:rPr>
          <w:lang w:val="en-US"/>
        </w:rPr>
        <w:t xml:space="preserve">= 1 means </w:t>
      </w:r>
      <w:r w:rsidRPr="00D469C6">
        <w:rPr>
          <w:u w:val="single"/>
          <w:lang w:val="en-US"/>
        </w:rPr>
        <w:t>one report</w:t>
      </w:r>
      <w:r>
        <w:rPr>
          <w:lang w:val="en-US"/>
        </w:rPr>
        <w:t xml:space="preserve"> capable of </w:t>
      </w:r>
      <w:r w:rsidRPr="00D469C6">
        <w:rPr>
          <w:u w:val="single"/>
          <w:lang w:val="en-US"/>
        </w:rPr>
        <w:t xml:space="preserve">one UE RSSI/CO measurement </w:t>
      </w:r>
      <w:r>
        <w:rPr>
          <w:lang w:val="en-US"/>
        </w:rPr>
        <w:t xml:space="preserve">per serving carrier frequency. As discussed in Section 4, </w:t>
      </w:r>
      <w:r w:rsidR="00DA6877">
        <w:rPr>
          <w:lang w:val="en-US"/>
        </w:rPr>
        <w:t>measuring the entire BWP in one-shot and reporting the result may potentially lead to over-/under-estimation of the true value of RSSI/CO particularly if the LBT outcome is different per-subband. Specifying E</w:t>
      </w:r>
      <w:r w:rsidR="00DA6877" w:rsidRPr="00D469C6">
        <w:rPr>
          <w:vertAlign w:val="subscript"/>
          <w:lang w:val="en-US"/>
        </w:rPr>
        <w:t>cat</w:t>
      </w:r>
      <w:r w:rsidR="00DA6877">
        <w:rPr>
          <w:lang w:val="en-US"/>
        </w:rPr>
        <w:t xml:space="preserve"> = 1 for measurement of wider bandwidth than 20 MHz implies that the measurement reporting is not per subband.</w:t>
      </w:r>
    </w:p>
    <w:p w14:paraId="2B8616C5" w14:textId="649FA3B4" w:rsidR="00D469C6" w:rsidRDefault="00DA6877" w:rsidP="00773E3B">
      <w:pPr>
        <w:rPr>
          <w:lang w:val="en-US"/>
        </w:rPr>
      </w:pPr>
      <w:r>
        <w:rPr>
          <w:lang w:val="en-US"/>
        </w:rPr>
        <w:t>In our view, RAN4 should first discuss whether the measurement reporting should be specified per subband or wideband. Decision on E</w:t>
      </w:r>
      <w:r w:rsidRPr="00D469C6">
        <w:rPr>
          <w:vertAlign w:val="subscript"/>
          <w:lang w:val="en-US"/>
        </w:rPr>
        <w:t>cat</w:t>
      </w:r>
      <w:r>
        <w:rPr>
          <w:vertAlign w:val="subscript"/>
          <w:lang w:val="en-US"/>
        </w:rPr>
        <w:t xml:space="preserve"> </w:t>
      </w:r>
      <w:r>
        <w:rPr>
          <w:lang w:val="en-US"/>
        </w:rPr>
        <w:t xml:space="preserve">value for wider bandwidth can follow next. </w:t>
      </w:r>
    </w:p>
    <w:p w14:paraId="5B582F65" w14:textId="653D0496" w:rsidR="00DA6877" w:rsidRDefault="00DA6877" w:rsidP="00773E3B">
      <w:pPr>
        <w:rPr>
          <w:lang w:val="en-US"/>
        </w:rPr>
      </w:pPr>
      <w:r>
        <w:rPr>
          <w:lang w:val="en-US"/>
        </w:rPr>
        <w:t>It was noted in [4] that subband reporting of RSSI/CO was classified as an optimization and should be treated in a best-effort manner. However, this classification is only from RAN1 perspective as indicated in [8]. Specifications work for RSSI/CO measurements is mostly concentrated in RAN2/4 working groups and RAN4 should continue discussing the merits and drawbacks of different options.</w:t>
      </w:r>
    </w:p>
    <w:p w14:paraId="7608A4C1" w14:textId="5602EC23" w:rsidR="00D469C6" w:rsidRPr="00DA6877" w:rsidRDefault="00DA6877" w:rsidP="00773E3B">
      <w:pPr>
        <w:rPr>
          <w:b/>
          <w:bCs/>
          <w:lang w:val="en-US"/>
        </w:rPr>
      </w:pPr>
      <w:r w:rsidRPr="00DA6877">
        <w:rPr>
          <w:b/>
          <w:bCs/>
          <w:lang w:val="en-US"/>
        </w:rPr>
        <w:t>Observation 6. RAN4 should first discuss whether the measurement reporting should be specified per subband or wideband. Decision on E</w:t>
      </w:r>
      <w:r w:rsidRPr="00DA6877">
        <w:rPr>
          <w:b/>
          <w:bCs/>
          <w:vertAlign w:val="subscript"/>
          <w:lang w:val="en-US"/>
        </w:rPr>
        <w:t xml:space="preserve">cat </w:t>
      </w:r>
      <w:r w:rsidRPr="00DA6877">
        <w:rPr>
          <w:b/>
          <w:bCs/>
          <w:lang w:val="en-US"/>
        </w:rPr>
        <w:t xml:space="preserve">value for wider bandwidth can follow next. </w:t>
      </w:r>
    </w:p>
    <w:p w14:paraId="05109B46" w14:textId="6BB8CCEB" w:rsidR="00F2107A" w:rsidRDefault="0032488E" w:rsidP="005D6C7D">
      <w:pPr>
        <w:pStyle w:val="Heading1"/>
        <w:rPr>
          <w:lang w:val="en-US"/>
        </w:rPr>
      </w:pPr>
      <w:r>
        <w:rPr>
          <w:lang w:val="en-US"/>
        </w:rPr>
        <w:t>Con</w:t>
      </w:r>
      <w:r w:rsidR="00F2107A">
        <w:rPr>
          <w:lang w:val="en-US"/>
        </w:rPr>
        <w:t>clusions</w:t>
      </w:r>
    </w:p>
    <w:p w14:paraId="59572DCD" w14:textId="77777777" w:rsidR="00575847" w:rsidRPr="00766B32" w:rsidRDefault="00575847" w:rsidP="00575847">
      <w:pPr>
        <w:rPr>
          <w:b/>
          <w:bCs/>
        </w:rPr>
      </w:pPr>
      <w:r w:rsidRPr="00766B32">
        <w:rPr>
          <w:b/>
          <w:bCs/>
        </w:rPr>
        <w:t>Observation 1. ETSI BRAN requirements on nominal channel BW and OCB can be summarized as follows:</w:t>
      </w:r>
    </w:p>
    <w:p w14:paraId="00850385" w14:textId="77777777" w:rsidR="00575847" w:rsidRPr="00766B32" w:rsidRDefault="00575847" w:rsidP="00575847">
      <w:pPr>
        <w:pStyle w:val="ListParagraph"/>
        <w:numPr>
          <w:ilvl w:val="0"/>
          <w:numId w:val="40"/>
        </w:numPr>
        <w:rPr>
          <w:b/>
          <w:bCs/>
          <w:sz w:val="20"/>
          <w:szCs w:val="20"/>
        </w:rPr>
      </w:pPr>
      <w:r w:rsidRPr="00766B32">
        <w:rPr>
          <w:b/>
          <w:bCs/>
          <w:sz w:val="20"/>
          <w:szCs w:val="20"/>
        </w:rPr>
        <w:t>The nominal channel BW is 20 MHz and OCB shall be above 80%.</w:t>
      </w:r>
    </w:p>
    <w:p w14:paraId="09E4A3F7" w14:textId="77777777" w:rsidR="00575847" w:rsidRPr="00766B32" w:rsidRDefault="00575847" w:rsidP="00575847">
      <w:pPr>
        <w:pStyle w:val="ListParagraph"/>
        <w:numPr>
          <w:ilvl w:val="0"/>
          <w:numId w:val="40"/>
        </w:numPr>
        <w:rPr>
          <w:b/>
          <w:bCs/>
          <w:sz w:val="20"/>
          <w:szCs w:val="20"/>
        </w:rPr>
      </w:pPr>
      <w:r w:rsidRPr="00766B32">
        <w:rPr>
          <w:b/>
          <w:bCs/>
          <w:sz w:val="20"/>
          <w:szCs w:val="20"/>
        </w:rPr>
        <w:t>An equipment may alternatively implement a lower nominal channel BW with a minimum of 5 MHz placed on the 20 MHz rasters.</w:t>
      </w:r>
    </w:p>
    <w:p w14:paraId="2372F960" w14:textId="77777777" w:rsidR="00575847" w:rsidRPr="00766B32" w:rsidRDefault="00575847" w:rsidP="00575847">
      <w:pPr>
        <w:pStyle w:val="ListParagraph"/>
        <w:numPr>
          <w:ilvl w:val="0"/>
          <w:numId w:val="40"/>
        </w:numPr>
        <w:rPr>
          <w:b/>
          <w:bCs/>
          <w:sz w:val="20"/>
          <w:szCs w:val="20"/>
        </w:rPr>
      </w:pPr>
      <w:r w:rsidRPr="00766B32">
        <w:rPr>
          <w:b/>
          <w:bCs/>
          <w:sz w:val="20"/>
          <w:szCs w:val="20"/>
        </w:rPr>
        <w:t>An equipment may operate temporarily with an OCB of less than 80% with a minimum of 2 MHz.</w:t>
      </w:r>
    </w:p>
    <w:p w14:paraId="2B9A4BB5" w14:textId="77777777" w:rsidR="00575847" w:rsidRPr="00575847" w:rsidRDefault="00575847" w:rsidP="00575847">
      <w:pPr>
        <w:rPr>
          <w:lang w:val="en-US"/>
        </w:rPr>
      </w:pPr>
    </w:p>
    <w:p w14:paraId="0E9BE372" w14:textId="77777777" w:rsidR="00680B59" w:rsidRDefault="00680B59" w:rsidP="00575847">
      <w:pPr>
        <w:rPr>
          <w:b/>
          <w:bCs/>
          <w:lang w:val="en-US"/>
        </w:rPr>
      </w:pPr>
    </w:p>
    <w:bookmarkStart w:id="31" w:name="_GoBack"/>
    <w:bookmarkEnd w:id="31"/>
    <w:p w14:paraId="4D78F651" w14:textId="5663D973" w:rsidR="00680B59" w:rsidRDefault="00680B59" w:rsidP="00575847">
      <w:pPr>
        <w:rPr>
          <w:b/>
          <w:bCs/>
          <w:lang w:val="en-US"/>
        </w:rPr>
      </w:pPr>
      <w:r>
        <w:object w:dxaOrig="10522" w:dyaOrig="5596" w14:anchorId="348E6921">
          <v:shape id="_x0000_i1026" type="#_x0000_t75" style="width:478.85pt;height:254.7pt" o:ole="">
            <v:imagedata r:id="rId8" o:title=""/>
          </v:shape>
          <o:OLEObject Type="Embed" ProgID="Visio.Drawing.11" ShapeID="_x0000_i1026" DrawAspect="Content" ObjectID="_1631708644" r:id="rId10"/>
        </w:object>
      </w:r>
    </w:p>
    <w:p w14:paraId="74E3DAF2" w14:textId="0D714537" w:rsidR="00575847" w:rsidRPr="003572BF" w:rsidRDefault="00575847" w:rsidP="00575847">
      <w:pPr>
        <w:rPr>
          <w:b/>
          <w:bCs/>
          <w:lang w:val="en-US"/>
        </w:rPr>
      </w:pPr>
      <w:r w:rsidRPr="003572BF">
        <w:rPr>
          <w:b/>
          <w:bCs/>
          <w:lang w:val="en-US"/>
        </w:rPr>
        <w:t>Observation 2. Comparing WB vs NB RSSI measurement performance in the scenarios outlined in Observation 1 and Figure 1:</w:t>
      </w:r>
    </w:p>
    <w:p w14:paraId="64535BD1" w14:textId="77777777" w:rsidR="00575847" w:rsidRPr="003572BF" w:rsidRDefault="00575847" w:rsidP="00575847">
      <w:pPr>
        <w:pStyle w:val="ListParagraph"/>
        <w:numPr>
          <w:ilvl w:val="0"/>
          <w:numId w:val="41"/>
        </w:numPr>
        <w:rPr>
          <w:b/>
          <w:bCs/>
          <w:sz w:val="20"/>
          <w:szCs w:val="20"/>
        </w:rPr>
      </w:pPr>
      <w:r w:rsidRPr="003572BF">
        <w:rPr>
          <w:b/>
          <w:bCs/>
          <w:sz w:val="20"/>
          <w:szCs w:val="20"/>
        </w:rPr>
        <w:t>When nominal channel BW is 20 MHz and OCB requirements are met, WB and NB RSSI measurements have similar outcome. NB RSSI measurements should be acceptable analogous to NB measurements of RSRP/RSRQ/SINR.</w:t>
      </w:r>
    </w:p>
    <w:p w14:paraId="6CF63BF6" w14:textId="77777777" w:rsidR="00575847" w:rsidRPr="003572BF" w:rsidRDefault="00575847" w:rsidP="00575847">
      <w:pPr>
        <w:pStyle w:val="ListParagraph"/>
        <w:numPr>
          <w:ilvl w:val="0"/>
          <w:numId w:val="41"/>
        </w:numPr>
        <w:rPr>
          <w:b/>
          <w:bCs/>
          <w:sz w:val="20"/>
          <w:szCs w:val="20"/>
        </w:rPr>
      </w:pPr>
      <w:r w:rsidRPr="003572BF">
        <w:rPr>
          <w:b/>
          <w:bCs/>
          <w:sz w:val="20"/>
          <w:szCs w:val="20"/>
        </w:rPr>
        <w:t>When nominal channel BW is 5 MHz, NB RSSI measurements are more accurate than WB RSSI measurements which can under-estimate RSSI by a factor of ~7 dB.</w:t>
      </w:r>
    </w:p>
    <w:p w14:paraId="3D6740CE" w14:textId="77777777" w:rsidR="00575847" w:rsidRDefault="00575847" w:rsidP="00575847">
      <w:pPr>
        <w:pStyle w:val="ListParagraph"/>
        <w:numPr>
          <w:ilvl w:val="0"/>
          <w:numId w:val="41"/>
        </w:numPr>
        <w:rPr>
          <w:b/>
          <w:bCs/>
          <w:sz w:val="20"/>
          <w:szCs w:val="20"/>
        </w:rPr>
      </w:pPr>
      <w:r w:rsidRPr="003572BF">
        <w:rPr>
          <w:b/>
          <w:bCs/>
          <w:sz w:val="20"/>
          <w:szCs w:val="20"/>
        </w:rPr>
        <w:t xml:space="preserve">When OCB requirements are temporarily not met and allocation in 20 MHz spectrum is sparse, both WB and NB RSSI measurements perform poorly. When allocation becomes </w:t>
      </w:r>
      <w:r>
        <w:rPr>
          <w:b/>
          <w:bCs/>
          <w:sz w:val="20"/>
          <w:szCs w:val="20"/>
        </w:rPr>
        <w:t xml:space="preserve">denser and </w:t>
      </w:r>
      <w:r w:rsidRPr="003572BF">
        <w:rPr>
          <w:b/>
          <w:bCs/>
          <w:sz w:val="20"/>
          <w:szCs w:val="20"/>
        </w:rPr>
        <w:t xml:space="preserve">more efficient, WB and NB RSSI measurements have similar outcome. </w:t>
      </w:r>
    </w:p>
    <w:p w14:paraId="3D2E032A" w14:textId="77777777" w:rsidR="00575847" w:rsidRDefault="00575847" w:rsidP="00575847">
      <w:pPr>
        <w:rPr>
          <w:b/>
          <w:bCs/>
        </w:rPr>
      </w:pPr>
    </w:p>
    <w:p w14:paraId="66AF79E3" w14:textId="52AD1B5E" w:rsidR="00575847" w:rsidRPr="00575847" w:rsidRDefault="00575847" w:rsidP="00575847">
      <w:pPr>
        <w:rPr>
          <w:b/>
          <w:bCs/>
        </w:rPr>
      </w:pPr>
      <w:r w:rsidRPr="00842335">
        <w:rPr>
          <w:b/>
          <w:bCs/>
        </w:rPr>
        <w:t xml:space="preserve">Proposal 1. RAN4 to define RSSI measurement accuracy requirements based on narrowband measurements (e.g., SSB BW). </w:t>
      </w:r>
    </w:p>
    <w:p w14:paraId="00677334" w14:textId="77777777" w:rsidR="00575847" w:rsidRDefault="00575847" w:rsidP="00575847">
      <w:pPr>
        <w:rPr>
          <w:b/>
          <w:bCs/>
        </w:rPr>
      </w:pPr>
      <w:r w:rsidRPr="00BC3E67">
        <w:rPr>
          <w:b/>
          <w:bCs/>
        </w:rPr>
        <w:t>Observation 3. RSSI measurement duration can either be specified in an absolute unit of time (e.g., 1-ms subframe) or with respect to an independent reference numerology. If measurement duration is specified in an absolute unit of time, UE should quantize it to smaller units (e.g., symbol) corresponding to a reference numerology for CO reporting.</w:t>
      </w:r>
    </w:p>
    <w:p w14:paraId="1BBB3E07" w14:textId="77777777" w:rsidR="00575847" w:rsidRDefault="00575847" w:rsidP="00575847">
      <w:pPr>
        <w:rPr>
          <w:b/>
          <w:bCs/>
        </w:rPr>
      </w:pPr>
      <w:r>
        <w:rPr>
          <w:b/>
          <w:bCs/>
        </w:rPr>
        <w:t xml:space="preserve">Proposal 2. RAN4 to adopt defining the measurement duration with respect to an independent numerology in the measurement object. </w:t>
      </w:r>
    </w:p>
    <w:p w14:paraId="3E41EEC8" w14:textId="77777777" w:rsidR="00575847" w:rsidRPr="00BC3E67" w:rsidRDefault="00575847" w:rsidP="00575847">
      <w:pPr>
        <w:rPr>
          <w:b/>
          <w:bCs/>
        </w:rPr>
      </w:pPr>
      <w:r w:rsidRPr="00BC3E67">
        <w:rPr>
          <w:b/>
          <w:bCs/>
        </w:rPr>
        <w:t>Proposal 3. Maximum duration of RSSI measurement window to be capped to 5ms.</w:t>
      </w:r>
    </w:p>
    <w:p w14:paraId="73209B27" w14:textId="77777777" w:rsidR="00575847" w:rsidRPr="00071CFE" w:rsidRDefault="00575847" w:rsidP="00575847">
      <w:pPr>
        <w:rPr>
          <w:b/>
          <w:bCs/>
        </w:rPr>
      </w:pPr>
      <w:r w:rsidRPr="00071CFE">
        <w:rPr>
          <w:b/>
          <w:bCs/>
        </w:rPr>
        <w:t>Observation 4. Configuring the measurement frequency resources in subband unit is more flexible than units of MHz as it allows NW to configure RSSI measurements even in non-contiguous portions of the BWP.</w:t>
      </w:r>
    </w:p>
    <w:p w14:paraId="56C28B50" w14:textId="594B8D57" w:rsidR="00575847" w:rsidRPr="00575847" w:rsidRDefault="00575847" w:rsidP="00575847">
      <w:pPr>
        <w:rPr>
          <w:b/>
          <w:bCs/>
        </w:rPr>
      </w:pPr>
      <w:r w:rsidRPr="00071CFE">
        <w:rPr>
          <w:b/>
          <w:bCs/>
        </w:rPr>
        <w:t>Proposal 4. RSSI measurement frequency resources to be in subband unit.</w:t>
      </w:r>
    </w:p>
    <w:p w14:paraId="68441378" w14:textId="56FE0DC3" w:rsidR="00575847" w:rsidRPr="00575847" w:rsidRDefault="00575847" w:rsidP="00575847">
      <w:pPr>
        <w:rPr>
          <w:b/>
          <w:bCs/>
        </w:rPr>
      </w:pPr>
      <w:r w:rsidRPr="00B0437C">
        <w:rPr>
          <w:b/>
        </w:rPr>
        <w:t xml:space="preserve">Proposal </w:t>
      </w:r>
      <w:r>
        <w:rPr>
          <w:b/>
        </w:rPr>
        <w:t>5</w:t>
      </w:r>
      <w:r w:rsidRPr="00B0437C">
        <w:rPr>
          <w:b/>
        </w:rPr>
        <w:t>.</w:t>
      </w:r>
      <w:r>
        <w:t xml:space="preserve"> </w:t>
      </w:r>
      <w:r>
        <w:rPr>
          <w:b/>
          <w:bCs/>
        </w:rPr>
        <w:t>If the UE is configured to measure RSSI and CO for multiple subbands in the configured BWP, it performs measurements serially, i.e., one subband per RMTC.</w:t>
      </w:r>
    </w:p>
    <w:p w14:paraId="4B7C0144" w14:textId="67F717BB" w:rsidR="00804DAC" w:rsidRPr="00575847" w:rsidRDefault="00575847" w:rsidP="00804DAC">
      <w:pPr>
        <w:rPr>
          <w:b/>
          <w:bCs/>
        </w:rPr>
      </w:pPr>
      <w:r w:rsidRPr="009825EE">
        <w:rPr>
          <w:b/>
          <w:bCs/>
        </w:rPr>
        <w:t>Observation 5. Aggregating the RSSI results of all subbands in one report, or simultaneous RSSI measurement of the entire BWP, may potentially lead to over-/under-estimation of the true value particularly if the LBT outcome is different per subband. Per-subband measurement and reporting of RSSI/CO is more accurate and useful.</w:t>
      </w:r>
    </w:p>
    <w:p w14:paraId="64019A29" w14:textId="77777777" w:rsidR="00575847" w:rsidRPr="00DA6877" w:rsidRDefault="00575847" w:rsidP="00575847">
      <w:pPr>
        <w:rPr>
          <w:b/>
          <w:bCs/>
          <w:lang w:val="en-US"/>
        </w:rPr>
      </w:pPr>
      <w:r w:rsidRPr="00DA6877">
        <w:rPr>
          <w:b/>
          <w:bCs/>
          <w:lang w:val="en-US"/>
        </w:rPr>
        <w:t>Observation 6. RAN4 should first discuss whether the measurement reporting should be specified per subband or wideband. Decision on E</w:t>
      </w:r>
      <w:r w:rsidRPr="00DA6877">
        <w:rPr>
          <w:b/>
          <w:bCs/>
          <w:vertAlign w:val="subscript"/>
          <w:lang w:val="en-US"/>
        </w:rPr>
        <w:t xml:space="preserve">cat </w:t>
      </w:r>
      <w:r w:rsidRPr="00DA6877">
        <w:rPr>
          <w:b/>
          <w:bCs/>
          <w:lang w:val="en-US"/>
        </w:rPr>
        <w:t xml:space="preserve">value for wider bandwidth can follow next. </w:t>
      </w:r>
    </w:p>
    <w:p w14:paraId="0C633F9D" w14:textId="77777777" w:rsidR="00797CE5" w:rsidRDefault="00797CE5" w:rsidP="006050F7">
      <w:pPr>
        <w:pStyle w:val="Heading1"/>
        <w:numPr>
          <w:ilvl w:val="0"/>
          <w:numId w:val="0"/>
        </w:numPr>
        <w:rPr>
          <w:lang w:val="en-US"/>
        </w:rPr>
      </w:pPr>
      <w:r>
        <w:rPr>
          <w:lang w:val="en-US"/>
        </w:rPr>
        <w:lastRenderedPageBreak/>
        <w:t>References</w:t>
      </w:r>
    </w:p>
    <w:p w14:paraId="7B142946" w14:textId="5FD3B916" w:rsidR="00BF31AD" w:rsidRDefault="00913818" w:rsidP="00797CE5">
      <w:pPr>
        <w:rPr>
          <w:lang w:val="en-US"/>
        </w:rPr>
      </w:pPr>
      <w:r>
        <w:rPr>
          <w:lang w:val="en-US"/>
        </w:rPr>
        <w:t>[1] R4-1910551</w:t>
      </w:r>
    </w:p>
    <w:p w14:paraId="58707727" w14:textId="2D67932B" w:rsidR="00913818" w:rsidRDefault="00913818" w:rsidP="00797CE5">
      <w:pPr>
        <w:rPr>
          <w:lang w:val="en-US"/>
        </w:rPr>
      </w:pPr>
      <w:r>
        <w:rPr>
          <w:lang w:val="en-US"/>
        </w:rPr>
        <w:t>[2] R4-1910573</w:t>
      </w:r>
    </w:p>
    <w:p w14:paraId="79859B3B" w14:textId="509D5CBA" w:rsidR="00A265B5" w:rsidRDefault="00A265B5" w:rsidP="00797CE5">
      <w:pPr>
        <w:rPr>
          <w:lang w:val="en-US"/>
        </w:rPr>
      </w:pPr>
      <w:r>
        <w:rPr>
          <w:lang w:val="en-US"/>
        </w:rPr>
        <w:t>[3] R4-1908494</w:t>
      </w:r>
    </w:p>
    <w:p w14:paraId="3FFB2569" w14:textId="05E2740A" w:rsidR="00FF0BFE" w:rsidRDefault="00FF0BFE" w:rsidP="00797CE5">
      <w:pPr>
        <w:rPr>
          <w:lang w:val="en-US"/>
        </w:rPr>
      </w:pPr>
      <w:r>
        <w:rPr>
          <w:lang w:val="en-US"/>
        </w:rPr>
        <w:t>[4] R4-1909220</w:t>
      </w:r>
    </w:p>
    <w:p w14:paraId="5B8A68CA" w14:textId="481328C4" w:rsidR="00566B94" w:rsidRDefault="00566B94" w:rsidP="00797CE5">
      <w:pPr>
        <w:rPr>
          <w:lang w:val="en-US"/>
        </w:rPr>
      </w:pPr>
      <w:r>
        <w:rPr>
          <w:lang w:val="en-US"/>
        </w:rPr>
        <w:t>[5] ETSI EN 301 893</w:t>
      </w:r>
    </w:p>
    <w:p w14:paraId="220FC910" w14:textId="6AE89DD1" w:rsidR="00410940" w:rsidRDefault="00410940" w:rsidP="00797CE5">
      <w:pPr>
        <w:rPr>
          <w:lang w:val="en-US"/>
        </w:rPr>
      </w:pPr>
      <w:r>
        <w:rPr>
          <w:lang w:val="en-US"/>
        </w:rPr>
        <w:t>[6] R4-1909464</w:t>
      </w:r>
    </w:p>
    <w:p w14:paraId="78FB4698" w14:textId="198E735E" w:rsidR="00340748" w:rsidRDefault="00340748" w:rsidP="00797CE5">
      <w:pPr>
        <w:rPr>
          <w:lang w:val="en-US"/>
        </w:rPr>
      </w:pPr>
      <w:r>
        <w:rPr>
          <w:lang w:val="en-US"/>
        </w:rPr>
        <w:t>[7] RP-191360</w:t>
      </w:r>
    </w:p>
    <w:p w14:paraId="08EC9CB1" w14:textId="643D9020" w:rsidR="00DA6877" w:rsidRDefault="00DA6877" w:rsidP="00797CE5">
      <w:pPr>
        <w:rPr>
          <w:lang w:val="en-US"/>
        </w:rPr>
      </w:pPr>
      <w:r>
        <w:rPr>
          <w:lang w:val="en-US"/>
        </w:rPr>
        <w:t>[8] RP-191361</w:t>
      </w:r>
    </w:p>
    <w:sectPr w:rsidR="00DA6877"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E0300" w14:textId="77777777" w:rsidR="00345C1A" w:rsidRDefault="00345C1A">
      <w:r>
        <w:separator/>
      </w:r>
    </w:p>
  </w:endnote>
  <w:endnote w:type="continuationSeparator" w:id="0">
    <w:p w14:paraId="26167D41" w14:textId="77777777" w:rsidR="00345C1A" w:rsidRDefault="0034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D920EB" w:rsidRDefault="00D920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D920EB" w:rsidRDefault="00D920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D920EB" w:rsidRDefault="00D920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D920EB" w:rsidRDefault="00D920E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99ACA" w14:textId="77777777" w:rsidR="00345C1A" w:rsidRDefault="00345C1A">
      <w:r>
        <w:separator/>
      </w:r>
    </w:p>
  </w:footnote>
  <w:footnote w:type="continuationSeparator" w:id="0">
    <w:p w14:paraId="2C2397DD" w14:textId="77777777" w:rsidR="00345C1A" w:rsidRDefault="00345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F228B7"/>
    <w:multiLevelType w:val="hybridMultilevel"/>
    <w:tmpl w:val="3C641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5485"/>
    <w:multiLevelType w:val="hybridMultilevel"/>
    <w:tmpl w:val="64E0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2401"/>
    <w:multiLevelType w:val="hybridMultilevel"/>
    <w:tmpl w:val="DD7EA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D3ED7"/>
    <w:multiLevelType w:val="hybridMultilevel"/>
    <w:tmpl w:val="0D7A651E"/>
    <w:lvl w:ilvl="0" w:tplc="C1B6EBEC">
      <w:start w:val="1"/>
      <w:numFmt w:val="bullet"/>
      <w:lvlText w:val="•"/>
      <w:lvlJc w:val="left"/>
      <w:pPr>
        <w:tabs>
          <w:tab w:val="num" w:pos="360"/>
        </w:tabs>
        <w:ind w:left="360" w:hanging="360"/>
      </w:pPr>
      <w:rPr>
        <w:rFonts w:ascii="Arial" w:hAnsi="Arial" w:hint="default"/>
      </w:rPr>
    </w:lvl>
    <w:lvl w:ilvl="1" w:tplc="560EBCB4">
      <w:start w:val="155"/>
      <w:numFmt w:val="bullet"/>
      <w:lvlText w:val="•"/>
      <w:lvlJc w:val="left"/>
      <w:pPr>
        <w:tabs>
          <w:tab w:val="num" w:pos="1080"/>
        </w:tabs>
        <w:ind w:left="1080" w:hanging="360"/>
      </w:pPr>
      <w:rPr>
        <w:rFonts w:ascii="Arial" w:hAnsi="Arial" w:hint="default"/>
      </w:rPr>
    </w:lvl>
    <w:lvl w:ilvl="2" w:tplc="D3FE565A" w:tentative="1">
      <w:start w:val="1"/>
      <w:numFmt w:val="bullet"/>
      <w:lvlText w:val="•"/>
      <w:lvlJc w:val="left"/>
      <w:pPr>
        <w:tabs>
          <w:tab w:val="num" w:pos="1800"/>
        </w:tabs>
        <w:ind w:left="1800" w:hanging="360"/>
      </w:pPr>
      <w:rPr>
        <w:rFonts w:ascii="Arial" w:hAnsi="Arial" w:hint="default"/>
      </w:rPr>
    </w:lvl>
    <w:lvl w:ilvl="3" w:tplc="41746338" w:tentative="1">
      <w:start w:val="1"/>
      <w:numFmt w:val="bullet"/>
      <w:lvlText w:val="•"/>
      <w:lvlJc w:val="left"/>
      <w:pPr>
        <w:tabs>
          <w:tab w:val="num" w:pos="2520"/>
        </w:tabs>
        <w:ind w:left="2520" w:hanging="360"/>
      </w:pPr>
      <w:rPr>
        <w:rFonts w:ascii="Arial" w:hAnsi="Arial" w:hint="default"/>
      </w:rPr>
    </w:lvl>
    <w:lvl w:ilvl="4" w:tplc="E04C4E9A" w:tentative="1">
      <w:start w:val="1"/>
      <w:numFmt w:val="bullet"/>
      <w:lvlText w:val="•"/>
      <w:lvlJc w:val="left"/>
      <w:pPr>
        <w:tabs>
          <w:tab w:val="num" w:pos="3240"/>
        </w:tabs>
        <w:ind w:left="3240" w:hanging="360"/>
      </w:pPr>
      <w:rPr>
        <w:rFonts w:ascii="Arial" w:hAnsi="Arial" w:hint="default"/>
      </w:rPr>
    </w:lvl>
    <w:lvl w:ilvl="5" w:tplc="CEA40B12" w:tentative="1">
      <w:start w:val="1"/>
      <w:numFmt w:val="bullet"/>
      <w:lvlText w:val="•"/>
      <w:lvlJc w:val="left"/>
      <w:pPr>
        <w:tabs>
          <w:tab w:val="num" w:pos="3960"/>
        </w:tabs>
        <w:ind w:left="3960" w:hanging="360"/>
      </w:pPr>
      <w:rPr>
        <w:rFonts w:ascii="Arial" w:hAnsi="Arial" w:hint="default"/>
      </w:rPr>
    </w:lvl>
    <w:lvl w:ilvl="6" w:tplc="035636BA" w:tentative="1">
      <w:start w:val="1"/>
      <w:numFmt w:val="bullet"/>
      <w:lvlText w:val="•"/>
      <w:lvlJc w:val="left"/>
      <w:pPr>
        <w:tabs>
          <w:tab w:val="num" w:pos="4680"/>
        </w:tabs>
        <w:ind w:left="4680" w:hanging="360"/>
      </w:pPr>
      <w:rPr>
        <w:rFonts w:ascii="Arial" w:hAnsi="Arial" w:hint="default"/>
      </w:rPr>
    </w:lvl>
    <w:lvl w:ilvl="7" w:tplc="DF147B5A" w:tentative="1">
      <w:start w:val="1"/>
      <w:numFmt w:val="bullet"/>
      <w:lvlText w:val="•"/>
      <w:lvlJc w:val="left"/>
      <w:pPr>
        <w:tabs>
          <w:tab w:val="num" w:pos="5400"/>
        </w:tabs>
        <w:ind w:left="5400" w:hanging="360"/>
      </w:pPr>
      <w:rPr>
        <w:rFonts w:ascii="Arial" w:hAnsi="Arial" w:hint="default"/>
      </w:rPr>
    </w:lvl>
    <w:lvl w:ilvl="8" w:tplc="B39011D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06629B"/>
    <w:multiLevelType w:val="hybridMultilevel"/>
    <w:tmpl w:val="583EC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802D60"/>
    <w:multiLevelType w:val="hybridMultilevel"/>
    <w:tmpl w:val="D110D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6" w15:restartNumberingAfterBreak="0">
    <w:nsid w:val="46683AF6"/>
    <w:multiLevelType w:val="hybridMultilevel"/>
    <w:tmpl w:val="73E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13563"/>
    <w:multiLevelType w:val="hybridMultilevel"/>
    <w:tmpl w:val="B4FE296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0C1F2E"/>
    <w:multiLevelType w:val="hybridMultilevel"/>
    <w:tmpl w:val="D5F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40"/>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7"/>
  </w:num>
  <w:num w:numId="10">
    <w:abstractNumId w:val="6"/>
  </w:num>
  <w:num w:numId="11">
    <w:abstractNumId w:val="23"/>
  </w:num>
  <w:num w:numId="12">
    <w:abstractNumId w:val="11"/>
  </w:num>
  <w:num w:numId="13">
    <w:abstractNumId w:val="20"/>
  </w:num>
  <w:num w:numId="14">
    <w:abstractNumId w:val="3"/>
  </w:num>
  <w:num w:numId="15">
    <w:abstractNumId w:val="42"/>
  </w:num>
  <w:num w:numId="16">
    <w:abstractNumId w:val="33"/>
  </w:num>
  <w:num w:numId="17">
    <w:abstractNumId w:val="13"/>
  </w:num>
  <w:num w:numId="18">
    <w:abstractNumId w:val="41"/>
  </w:num>
  <w:num w:numId="19">
    <w:abstractNumId w:val="32"/>
  </w:num>
  <w:num w:numId="20">
    <w:abstractNumId w:val="19"/>
  </w:num>
  <w:num w:numId="21">
    <w:abstractNumId w:val="34"/>
  </w:num>
  <w:num w:numId="22">
    <w:abstractNumId w:val="31"/>
  </w:num>
  <w:num w:numId="23">
    <w:abstractNumId w:val="8"/>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9"/>
  </w:num>
  <w:num w:numId="27">
    <w:abstractNumId w:val="9"/>
  </w:num>
  <w:num w:numId="28">
    <w:abstractNumId w:val="36"/>
  </w:num>
  <w:num w:numId="29">
    <w:abstractNumId w:val="24"/>
  </w:num>
  <w:num w:numId="30">
    <w:abstractNumId w:val="18"/>
  </w:num>
  <w:num w:numId="31">
    <w:abstractNumId w:val="30"/>
  </w:num>
  <w:num w:numId="32">
    <w:abstractNumId w:val="14"/>
  </w:num>
  <w:num w:numId="33">
    <w:abstractNumId w:val="4"/>
  </w:num>
  <w:num w:numId="34">
    <w:abstractNumId w:val="17"/>
  </w:num>
  <w:num w:numId="35">
    <w:abstractNumId w:val="2"/>
  </w:num>
  <w:num w:numId="36">
    <w:abstractNumId w:val="26"/>
  </w:num>
  <w:num w:numId="37">
    <w:abstractNumId w:val="29"/>
  </w:num>
  <w:num w:numId="38">
    <w:abstractNumId w:val="10"/>
  </w:num>
  <w:num w:numId="39">
    <w:abstractNumId w:val="28"/>
  </w:num>
  <w:num w:numId="40">
    <w:abstractNumId w:val="22"/>
  </w:num>
  <w:num w:numId="41">
    <w:abstractNumId w:val="5"/>
  </w:num>
  <w:num w:numId="42">
    <w:abstractNumId w:val="21"/>
  </w:num>
  <w:num w:numId="43">
    <w:abstractNumId w:val="37"/>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9B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1CFE"/>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A2E"/>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552"/>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0B"/>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687"/>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357"/>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6D1"/>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4A"/>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0DF5"/>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8B4"/>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2F7F7C"/>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113"/>
    <w:rsid w:val="00337613"/>
    <w:rsid w:val="00337A5E"/>
    <w:rsid w:val="00337D04"/>
    <w:rsid w:val="003401DA"/>
    <w:rsid w:val="00340208"/>
    <w:rsid w:val="00340426"/>
    <w:rsid w:val="00340748"/>
    <w:rsid w:val="00340B5E"/>
    <w:rsid w:val="00340D7A"/>
    <w:rsid w:val="0034157C"/>
    <w:rsid w:val="00341852"/>
    <w:rsid w:val="00341FE5"/>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1A"/>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2BF"/>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143"/>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49A3"/>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940"/>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088"/>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AD4"/>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60C"/>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1EC3"/>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B94"/>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7"/>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BE"/>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4D90"/>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B59"/>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55"/>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9BC"/>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B32"/>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E3B"/>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57E"/>
    <w:rsid w:val="00821835"/>
    <w:rsid w:val="00821A04"/>
    <w:rsid w:val="00821A83"/>
    <w:rsid w:val="00821C3F"/>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335"/>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29B"/>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818"/>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E0F"/>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6EA0"/>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5EE"/>
    <w:rsid w:val="009828ED"/>
    <w:rsid w:val="00982A53"/>
    <w:rsid w:val="00982A59"/>
    <w:rsid w:val="00982B6C"/>
    <w:rsid w:val="00982EA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5F3B"/>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5B5"/>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A75"/>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8BF"/>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2EE"/>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CEE"/>
    <w:rsid w:val="00B90FDA"/>
    <w:rsid w:val="00B90FFF"/>
    <w:rsid w:val="00B910E8"/>
    <w:rsid w:val="00B91115"/>
    <w:rsid w:val="00B91378"/>
    <w:rsid w:val="00B915BF"/>
    <w:rsid w:val="00B919BA"/>
    <w:rsid w:val="00B92007"/>
    <w:rsid w:val="00B92015"/>
    <w:rsid w:val="00B922D7"/>
    <w:rsid w:val="00B92357"/>
    <w:rsid w:val="00B9235C"/>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3E67"/>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416"/>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330"/>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C97"/>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9C6"/>
    <w:rsid w:val="00D46E75"/>
    <w:rsid w:val="00D47564"/>
    <w:rsid w:val="00D47C86"/>
    <w:rsid w:val="00D47F09"/>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0EB"/>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7CE"/>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877"/>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458"/>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9D7"/>
    <w:rsid w:val="00DE2A5B"/>
    <w:rsid w:val="00DE3B48"/>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6FAB"/>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A24"/>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42D"/>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23"/>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3DCA"/>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BFE"/>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ind w:left="31680"/>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ind w:left="31680"/>
      <w:outlineLvl w:val="6"/>
    </w:pPr>
  </w:style>
  <w:style w:type="paragraph" w:styleId="Heading8">
    <w:name w:val="heading 8"/>
    <w:basedOn w:val="Heading1"/>
    <w:next w:val="Normal"/>
    <w:link w:val="Heading8Char"/>
    <w:qFormat/>
    <w:pPr>
      <w:numPr>
        <w:ilvl w:val="7"/>
      </w:numPr>
      <w:ind w:left="31680"/>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384441">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5706714">
      <w:bodyDiv w:val="1"/>
      <w:marLeft w:val="0"/>
      <w:marRight w:val="0"/>
      <w:marTop w:val="0"/>
      <w:marBottom w:val="0"/>
      <w:divBdr>
        <w:top w:val="none" w:sz="0" w:space="0" w:color="auto"/>
        <w:left w:val="none" w:sz="0" w:space="0" w:color="auto"/>
        <w:bottom w:val="none" w:sz="0" w:space="0" w:color="auto"/>
        <w:right w:val="none" w:sz="0" w:space="0" w:color="auto"/>
      </w:divBdr>
      <w:divsChild>
        <w:div w:id="1013723370">
          <w:marLeft w:val="360"/>
          <w:marRight w:val="0"/>
          <w:marTop w:val="200"/>
          <w:marBottom w:val="0"/>
          <w:divBdr>
            <w:top w:val="none" w:sz="0" w:space="0" w:color="auto"/>
            <w:left w:val="none" w:sz="0" w:space="0" w:color="auto"/>
            <w:bottom w:val="none" w:sz="0" w:space="0" w:color="auto"/>
            <w:right w:val="none" w:sz="0" w:space="0" w:color="auto"/>
          </w:divBdr>
        </w:div>
        <w:div w:id="686253072">
          <w:marLeft w:val="1080"/>
          <w:marRight w:val="0"/>
          <w:marTop w:val="100"/>
          <w:marBottom w:val="0"/>
          <w:divBdr>
            <w:top w:val="none" w:sz="0" w:space="0" w:color="auto"/>
            <w:left w:val="none" w:sz="0" w:space="0" w:color="auto"/>
            <w:bottom w:val="none" w:sz="0" w:space="0" w:color="auto"/>
            <w:right w:val="none" w:sz="0" w:space="0" w:color="auto"/>
          </w:divBdr>
        </w:div>
        <w:div w:id="828785384">
          <w:marLeft w:val="1080"/>
          <w:marRight w:val="0"/>
          <w:marTop w:val="100"/>
          <w:marBottom w:val="0"/>
          <w:divBdr>
            <w:top w:val="none" w:sz="0" w:space="0" w:color="auto"/>
            <w:left w:val="none" w:sz="0" w:space="0" w:color="auto"/>
            <w:bottom w:val="none" w:sz="0" w:space="0" w:color="auto"/>
            <w:right w:val="none" w:sz="0" w:space="0" w:color="auto"/>
          </w:divBdr>
        </w:div>
        <w:div w:id="14750246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3D153-F86F-4C5F-908F-2B0BF98E3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1793</TotalTime>
  <Pages>7</Pages>
  <Words>2522</Words>
  <Characters>14381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26</cp:revision>
  <cp:lastPrinted>2009-04-22T21:01:00Z</cp:lastPrinted>
  <dcterms:created xsi:type="dcterms:W3CDTF">2019-09-12T21:31:00Z</dcterms:created>
  <dcterms:modified xsi:type="dcterms:W3CDTF">2019-10-04T21:37:00Z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